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285115</wp:posOffset>
            </wp:positionH>
            <wp:positionV relativeFrom="page">
              <wp:posOffset>817880</wp:posOffset>
            </wp:positionV>
            <wp:extent cx="6978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843280</wp:posOffset>
            </wp:positionV>
            <wp:extent cx="6978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8255"/>
                    </a:xfrm>
                    <a:prstGeom prst="rect">
                      <a:avLst/>
                    </a:prstGeom>
                    <a:noFill/>
                  </pic:spPr>
                </pic:pic>
              </a:graphicData>
            </a:graphic>
          </wp:anchor>
        </w:drawing>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147"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98"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2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on Form 6-K dated for the month of April 2026</w:t>
      </w:r>
    </w:p>
    <w:p>
      <w:pPr>
        <w:spacing w:after="0" w:line="22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Copa Holdings, S.A.</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19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08"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Boulevard Costa del Este, Avenida Principal y Avenida de la Rotonda</w:t>
      </w:r>
    </w:p>
    <w:p>
      <w:pPr>
        <w:spacing w:after="0" w:line="2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Urbanización Costa del Este</w:t>
      </w:r>
    </w:p>
    <w:p>
      <w:pPr>
        <w:jc w:val="center"/>
        <w:ind w:right="-119"/>
        <w:spacing w:after="0" w:line="234" w:lineRule="auto"/>
        <w:rPr>
          <w:sz w:val="20"/>
          <w:szCs w:val="20"/>
          <w:color w:val="auto"/>
        </w:rPr>
      </w:pPr>
      <w:r>
        <w:rPr>
          <w:rFonts w:ascii="Times New Roman" w:cs="Times New Roman" w:eastAsia="Times New Roman" w:hAnsi="Times New Roman"/>
          <w:sz w:val="18"/>
          <w:szCs w:val="18"/>
          <w:b w:val="1"/>
          <w:bCs w:val="1"/>
          <w:color w:val="auto"/>
        </w:rPr>
        <w:t>Complejo Business Park, Torre Norte</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ParqueLefevre</w:t>
      </w:r>
    </w:p>
    <w:p>
      <w:pPr>
        <w:jc w:val="center"/>
        <w:ind w:right="-119"/>
        <w:spacing w:after="0" w:line="235" w:lineRule="auto"/>
        <w:rPr>
          <w:sz w:val="20"/>
          <w:szCs w:val="20"/>
          <w:color w:val="auto"/>
        </w:rPr>
      </w:pPr>
      <w:r>
        <w:rPr>
          <w:rFonts w:ascii="Times New Roman" w:cs="Times New Roman" w:eastAsia="Times New Roman" w:hAnsi="Times New Roman"/>
          <w:sz w:val="18"/>
          <w:szCs w:val="18"/>
          <w:b w:val="1"/>
          <w:bCs w:val="1"/>
          <w:color w:val="auto"/>
        </w:rPr>
        <w:t>Panama City, Panama</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2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52" w:lineRule="exact"/>
        <w:rPr>
          <w:sz w:val="24"/>
          <w:szCs w:val="24"/>
          <w:color w:val="auto"/>
        </w:rPr>
      </w:pPr>
    </w:p>
    <w:p>
      <w:pPr>
        <w:ind w:left="4420"/>
        <w:spacing w:after="0"/>
        <w:tabs>
          <w:tab w:leader="none" w:pos="6140" w:val="left"/>
        </w:tabs>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Form 40-F </w:t>
      </w:r>
      <w:r>
        <w:rPr>
          <w:rFonts w:ascii="Wingdings" w:cs="Wingdings" w:eastAsia="Wingdings" w:hAnsi="Wingdings"/>
          <w:sz w:val="17"/>
          <w:szCs w:val="17"/>
          <w:b w:val="1"/>
          <w:bCs w:val="1"/>
          <w:color w:val="auto"/>
        </w:rPr>
        <w:t>o</w:t>
      </w:r>
    </w:p>
    <w:p>
      <w:pPr>
        <w:spacing w:after="0" w:line="225" w:lineRule="exact"/>
        <w:rPr>
          <w:sz w:val="24"/>
          <w:szCs w:val="24"/>
          <w:color w:val="auto"/>
        </w:rPr>
      </w:pPr>
    </w:p>
    <w:p>
      <w:pPr>
        <w:ind w:firstLine="1134"/>
        <w:spacing w:after="0" w:line="266" w:lineRule="auto"/>
        <w:rPr>
          <w:sz w:val="20"/>
          <w:szCs w:val="20"/>
          <w:color w:val="auto"/>
        </w:rPr>
      </w:pPr>
      <w:r>
        <w:rPr>
          <w:rFonts w:ascii="Times New Roman" w:cs="Times New Roman" w:eastAsia="Times New Roman" w:hAnsi="Times New Roman"/>
          <w:sz w:val="18"/>
          <w:szCs w:val="18"/>
          <w:color w:val="auto"/>
        </w:rPr>
        <w:t>(Indicate by check whether the registrant by furnishing the information contained in this Form is also thereby furnishing the information to the Commission pursuant to Rule 12g3-2(b) under the Securities Exchange Act of 1934.)</w:t>
      </w:r>
    </w:p>
    <w:p>
      <w:pPr>
        <w:spacing w:after="0" w:line="216" w:lineRule="exact"/>
        <w:rPr>
          <w:sz w:val="24"/>
          <w:szCs w:val="24"/>
          <w:color w:val="auto"/>
        </w:rPr>
      </w:pPr>
    </w:p>
    <w:p>
      <w:pPr>
        <w:ind w:left="4920"/>
        <w:spacing w:after="0"/>
        <w:tabs>
          <w:tab w:leader="none" w:pos="598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x</w:t>
      </w:r>
    </w:p>
    <w:p>
      <w:pPr>
        <w:spacing w:after="0" w:line="22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12g3-2(b);82- )</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Enclosure: Press Release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Arial" w:cs="Arial" w:eastAsia="Arial" w:hAnsi="Arial"/>
          <w:sz w:val="14"/>
          <w:szCs w:val="14"/>
          <w:b w:val="1"/>
          <w:bCs w:val="1"/>
          <w:color w:val="auto"/>
        </w:rPr>
        <w:t>Copa Holdings Announces Monthly Traffic Statistics for March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188595</wp:posOffset>
            </wp:positionV>
            <wp:extent cx="7106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214630</wp:posOffset>
            </wp:positionV>
            <wp:extent cx="7106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140"/>
          </w:cols>
          <w:pgMar w:left="320" w:top="1402" w:right="439"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9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Copa Holdings, S.A.</w:t>
      </w:r>
    </w:p>
    <w:p>
      <w:pPr>
        <w:ind w:left="5480"/>
        <w:spacing w:after="0"/>
        <w:rPr>
          <w:sz w:val="20"/>
          <w:szCs w:val="20"/>
          <w:color w:val="auto"/>
        </w:rPr>
      </w:pPr>
      <w:r>
        <w:rPr>
          <w:rFonts w:ascii="Times New Roman" w:cs="Times New Roman" w:eastAsia="Times New Roman" w:hAnsi="Times New Roman"/>
          <w:sz w:val="18"/>
          <w:szCs w:val="18"/>
          <w:color w:val="auto"/>
        </w:rPr>
        <w:t>(Registrant)</w:t>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4/13/26</w:t>
      </w:r>
    </w:p>
    <w:p>
      <w:pPr>
        <w:spacing w:after="0" w:line="50" w:lineRule="exact"/>
        <w:rPr>
          <w:sz w:val="20"/>
          <w:szCs w:val="20"/>
          <w:color w:val="auto"/>
        </w:rPr>
      </w:pPr>
    </w:p>
    <w:p>
      <w:pPr>
        <w:ind w:left="5480"/>
        <w:spacing w:after="0"/>
        <w:tabs>
          <w:tab w:leader="none" w:pos="6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Donkersloot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Peter Donkersloot</w:t>
      </w:r>
    </w:p>
    <w:p>
      <w:pPr>
        <w:ind w:left="6100"/>
        <w:spacing w:after="0"/>
        <w:rPr>
          <w:sz w:val="20"/>
          <w:szCs w:val="20"/>
          <w:color w:val="auto"/>
        </w:rPr>
      </w:pPr>
      <w:r>
        <w:rPr>
          <w:rFonts w:ascii="Times New Roman" w:cs="Times New Roman" w:eastAsia="Times New Roman" w:hAnsi="Times New Roman"/>
          <w:sz w:val="18"/>
          <w:szCs w:val="18"/>
          <w:color w:val="auto"/>
        </w:rPr>
        <w:t>Title: CFO</w:t>
      </w:r>
    </w:p>
    <w:p>
      <w:pPr>
        <w:sectPr>
          <w:pgSz w:w="11900" w:h="16838" w:orient="portrait"/>
          <w:cols w:equalWidth="0" w:num="1">
            <w:col w:w="10280"/>
          </w:cols>
          <w:pgMar w:left="320" w:top="1359" w:right="12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Copa Holdings Announces Monthly Traffic Statistics for March 2026</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PANAMA CITY, April 13, 2026 (GLOBE NEWSWIRE) -- Copa Holdings, S.A. (NYSE: CPA) today released preliminary passenger traffic statistics for March 2026: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vMerge w:val="restart"/>
          </w:tcPr>
          <w:p>
            <w:pPr>
              <w:jc w:val="right"/>
              <w:ind w:right="910"/>
              <w:spacing w:after="0"/>
              <w:rPr>
                <w:sz w:val="20"/>
                <w:szCs w:val="20"/>
                <w:color w:val="auto"/>
              </w:rPr>
            </w:pPr>
            <w:r>
              <w:rPr>
                <w:rFonts w:ascii="Arial" w:cs="Arial" w:eastAsia="Arial" w:hAnsi="Arial"/>
                <w:sz w:val="18"/>
                <w:szCs w:val="18"/>
                <w:b w:val="1"/>
                <w:bCs w:val="1"/>
                <w:color w:val="auto"/>
              </w:rPr>
              <w:t>Copa Holdings (Consolidated)</w:t>
            </w:r>
          </w:p>
        </w:tc>
        <w:tc>
          <w:tcPr>
            <w:tcW w:w="1880" w:type="dxa"/>
            <w:vAlign w:val="bottom"/>
          </w:tcPr>
          <w:p>
            <w:pPr>
              <w:jc w:val="right"/>
              <w:ind w:right="770"/>
              <w:spacing w:after="0"/>
              <w:rPr>
                <w:sz w:val="20"/>
                <w:szCs w:val="20"/>
                <w:color w:val="auto"/>
              </w:rPr>
            </w:pPr>
            <w:r>
              <w:rPr>
                <w:rFonts w:ascii="Arial" w:cs="Arial" w:eastAsia="Arial" w:hAnsi="Arial"/>
                <w:sz w:val="18"/>
                <w:szCs w:val="18"/>
                <w:b w:val="1"/>
                <w:bCs w:val="1"/>
                <w:color w:val="auto"/>
              </w:rPr>
              <w:t>March</w:t>
            </w:r>
          </w:p>
        </w:tc>
        <w:tc>
          <w:tcPr>
            <w:tcW w:w="1720" w:type="dxa"/>
            <w:vAlign w:val="bottom"/>
          </w:tcPr>
          <w:p>
            <w:pPr>
              <w:jc w:val="right"/>
              <w:ind w:right="790"/>
              <w:spacing w:after="0"/>
              <w:rPr>
                <w:sz w:val="20"/>
                <w:szCs w:val="20"/>
                <w:color w:val="auto"/>
              </w:rPr>
            </w:pPr>
            <w:r>
              <w:rPr>
                <w:rFonts w:ascii="Arial" w:cs="Arial" w:eastAsia="Arial" w:hAnsi="Arial"/>
                <w:sz w:val="18"/>
                <w:szCs w:val="18"/>
                <w:b w:val="1"/>
                <w:bCs w:val="1"/>
                <w:color w:val="auto"/>
              </w:rPr>
              <w:t>March</w:t>
            </w:r>
          </w:p>
        </w:tc>
        <w:tc>
          <w:tcPr>
            <w:tcW w:w="166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25"/>
        </w:trPr>
        <w:tc>
          <w:tcPr>
            <w:tcW w:w="3680" w:type="dxa"/>
            <w:vAlign w:val="bottom"/>
            <w:vMerge w:val="continue"/>
          </w:tcPr>
          <w:p>
            <w:pPr>
              <w:spacing w:after="0"/>
              <w:rPr>
                <w:sz w:val="10"/>
                <w:szCs w:val="10"/>
                <w:color w:val="auto"/>
              </w:rPr>
            </w:pPr>
          </w:p>
        </w:tc>
        <w:tc>
          <w:tcPr>
            <w:tcW w:w="1880" w:type="dxa"/>
            <w:vAlign w:val="bottom"/>
            <w:vMerge w:val="restart"/>
          </w:tcPr>
          <w:p>
            <w:pPr>
              <w:jc w:val="right"/>
              <w:ind w:right="810"/>
              <w:spacing w:after="0"/>
              <w:rPr>
                <w:sz w:val="20"/>
                <w:szCs w:val="20"/>
                <w:color w:val="auto"/>
              </w:rPr>
            </w:pPr>
            <w:r>
              <w:rPr>
                <w:rFonts w:ascii="Arial" w:cs="Arial" w:eastAsia="Arial" w:hAnsi="Arial"/>
                <w:sz w:val="18"/>
                <w:szCs w:val="18"/>
                <w:b w:val="1"/>
                <w:bCs w:val="1"/>
                <w:color w:val="auto"/>
              </w:rPr>
              <w:t>2026</w:t>
            </w:r>
          </w:p>
        </w:tc>
        <w:tc>
          <w:tcPr>
            <w:tcW w:w="172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auto"/>
              </w:rPr>
              <w:t>2025</w:t>
            </w: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68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vMerge w:val="continue"/>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3680" w:type="dxa"/>
            <w:vAlign w:val="bottom"/>
            <w:tcBorders>
              <w:right w:val="single" w:sz="8" w:color="auto"/>
            </w:tcBorders>
          </w:tcPr>
          <w:p>
            <w:pPr>
              <w:jc w:val="right"/>
              <w:spacing w:after="0" w:line="258" w:lineRule="exact"/>
              <w:rPr>
                <w:sz w:val="20"/>
                <w:szCs w:val="20"/>
                <w:color w:val="auto"/>
              </w:rPr>
            </w:pPr>
            <w:r>
              <w:rPr>
                <w:rFonts w:ascii="Arial" w:cs="Arial" w:eastAsia="Arial" w:hAnsi="Arial"/>
                <w:sz w:val="18"/>
                <w:szCs w:val="18"/>
                <w:color w:val="auto"/>
              </w:rPr>
              <w:t xml:space="preserve">ASM (mm) </w:t>
            </w:r>
            <w:r>
              <w:rPr>
                <w:rFonts w:ascii="Arial" w:cs="Arial" w:eastAsia="Arial" w:hAnsi="Arial"/>
                <w:sz w:val="23"/>
                <w:szCs w:val="23"/>
                <w:color w:val="auto"/>
                <w:vertAlign w:val="superscript"/>
              </w:rPr>
              <w:t>(1)</w:t>
            </w:r>
          </w:p>
        </w:tc>
        <w:tc>
          <w:tcPr>
            <w:tcW w:w="1880" w:type="dxa"/>
            <w:vAlign w:val="bottom"/>
          </w:tcPr>
          <w:p>
            <w:pPr>
              <w:jc w:val="right"/>
              <w:ind w:right="270"/>
              <w:spacing w:after="0"/>
              <w:rPr>
                <w:sz w:val="20"/>
                <w:szCs w:val="20"/>
                <w:color w:val="auto"/>
              </w:rPr>
            </w:pPr>
            <w:r>
              <w:rPr>
                <w:rFonts w:ascii="Arial" w:cs="Arial" w:eastAsia="Arial" w:hAnsi="Arial"/>
                <w:sz w:val="18"/>
                <w:szCs w:val="18"/>
                <w:color w:val="auto"/>
              </w:rPr>
              <w:t>3,025.7</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2,636.7</w:t>
            </w: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256"/>
        </w:trPr>
        <w:tc>
          <w:tcPr>
            <w:tcW w:w="3680" w:type="dxa"/>
            <w:vAlign w:val="bottom"/>
            <w:tcBorders>
              <w:right w:val="single" w:sz="8" w:color="auto"/>
            </w:tcBorders>
          </w:tcPr>
          <w:p>
            <w:pPr>
              <w:jc w:val="right"/>
              <w:spacing w:after="0" w:line="256" w:lineRule="exact"/>
              <w:rPr>
                <w:sz w:val="20"/>
                <w:szCs w:val="20"/>
                <w:color w:val="auto"/>
              </w:rPr>
            </w:pPr>
            <w:r>
              <w:rPr>
                <w:rFonts w:ascii="Arial" w:cs="Arial" w:eastAsia="Arial" w:hAnsi="Arial"/>
                <w:sz w:val="18"/>
                <w:szCs w:val="18"/>
                <w:color w:val="auto"/>
              </w:rPr>
              <w:t xml:space="preserve">RPM (mm) </w:t>
            </w:r>
            <w:r>
              <w:rPr>
                <w:rFonts w:ascii="Arial" w:cs="Arial" w:eastAsia="Arial" w:hAnsi="Arial"/>
                <w:sz w:val="23"/>
                <w:szCs w:val="23"/>
                <w:color w:val="auto"/>
                <w:vertAlign w:val="superscript"/>
              </w:rPr>
              <w:t>(2)</w:t>
            </w:r>
          </w:p>
        </w:tc>
        <w:tc>
          <w:tcPr>
            <w:tcW w:w="1880" w:type="dxa"/>
            <w:vAlign w:val="bottom"/>
          </w:tcPr>
          <w:p>
            <w:pPr>
              <w:jc w:val="right"/>
              <w:ind w:right="270"/>
              <w:spacing w:after="0"/>
              <w:rPr>
                <w:sz w:val="20"/>
                <w:szCs w:val="20"/>
                <w:color w:val="auto"/>
              </w:rPr>
            </w:pPr>
            <w:r>
              <w:rPr>
                <w:rFonts w:ascii="Arial" w:cs="Arial" w:eastAsia="Arial" w:hAnsi="Arial"/>
                <w:sz w:val="18"/>
                <w:szCs w:val="18"/>
                <w:color w:val="auto"/>
              </w:rPr>
              <w:t>2,623.5</w:t>
            </w:r>
          </w:p>
        </w:tc>
        <w:tc>
          <w:tcPr>
            <w:tcW w:w="1720" w:type="dxa"/>
            <w:vAlign w:val="bottom"/>
          </w:tcPr>
          <w:p>
            <w:pPr>
              <w:jc w:val="right"/>
              <w:ind w:right="250"/>
              <w:spacing w:after="0"/>
              <w:rPr>
                <w:sz w:val="20"/>
                <w:szCs w:val="20"/>
                <w:color w:val="auto"/>
              </w:rPr>
            </w:pPr>
            <w:r>
              <w:rPr>
                <w:rFonts w:ascii="Arial" w:cs="Arial" w:eastAsia="Arial" w:hAnsi="Arial"/>
                <w:sz w:val="18"/>
                <w:szCs w:val="18"/>
                <w:color w:val="auto"/>
              </w:rPr>
              <w:t>2,274.6</w:t>
            </w:r>
          </w:p>
        </w:tc>
        <w:tc>
          <w:tcPr>
            <w:tcW w:w="1660" w:type="dxa"/>
            <w:vAlign w:val="bottom"/>
          </w:tcPr>
          <w:p>
            <w:pPr>
              <w:jc w:val="right"/>
              <w:ind w:right="110"/>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48"/>
        </w:trPr>
        <w:tc>
          <w:tcPr>
            <w:tcW w:w="3680" w:type="dxa"/>
            <w:vAlign w:val="bottom"/>
            <w:tcBorders>
              <w:right w:val="single" w:sz="8" w:color="auto"/>
            </w:tcBorders>
          </w:tcPr>
          <w:p>
            <w:pPr>
              <w:jc w:val="right"/>
              <w:spacing w:after="0" w:line="248" w:lineRule="exact"/>
              <w:rPr>
                <w:sz w:val="20"/>
                <w:szCs w:val="20"/>
                <w:color w:val="auto"/>
              </w:rPr>
            </w:pPr>
            <w:r>
              <w:rPr>
                <w:rFonts w:ascii="Arial" w:cs="Arial" w:eastAsia="Arial" w:hAnsi="Arial"/>
                <w:sz w:val="18"/>
                <w:szCs w:val="18"/>
                <w:b w:val="1"/>
                <w:bCs w:val="1"/>
                <w:color w:val="auto"/>
              </w:rPr>
              <w:t xml:space="preserve">Load Factor </w:t>
            </w:r>
            <w:r>
              <w:rPr>
                <w:rFonts w:ascii="Arial" w:cs="Arial" w:eastAsia="Arial" w:hAnsi="Arial"/>
                <w:sz w:val="23"/>
                <w:szCs w:val="23"/>
                <w:color w:val="auto"/>
                <w:vertAlign w:val="superscript"/>
              </w:rPr>
              <w:t>(3)</w:t>
            </w:r>
          </w:p>
        </w:tc>
        <w:tc>
          <w:tcPr>
            <w:tcW w:w="1880" w:type="dxa"/>
            <w:vAlign w:val="bottom"/>
          </w:tcPr>
          <w:p>
            <w:pPr>
              <w:jc w:val="right"/>
              <w:ind w:right="210"/>
              <w:spacing w:after="0"/>
              <w:rPr>
                <w:sz w:val="20"/>
                <w:szCs w:val="20"/>
                <w:color w:val="auto"/>
              </w:rPr>
            </w:pPr>
            <w:r>
              <w:rPr>
                <w:rFonts w:ascii="Arial" w:cs="Arial" w:eastAsia="Arial" w:hAnsi="Arial"/>
                <w:sz w:val="18"/>
                <w:szCs w:val="18"/>
                <w:b w:val="1"/>
                <w:bCs w:val="1"/>
                <w:color w:val="auto"/>
              </w:rPr>
              <w:t>86.7 %</w:t>
            </w:r>
          </w:p>
        </w:tc>
        <w:tc>
          <w:tcPr>
            <w:tcW w:w="1720" w:type="dxa"/>
            <w:vAlign w:val="bottom"/>
          </w:tcPr>
          <w:p>
            <w:pPr>
              <w:jc w:val="right"/>
              <w:ind w:right="170"/>
              <w:spacing w:after="0"/>
              <w:rPr>
                <w:sz w:val="20"/>
                <w:szCs w:val="20"/>
                <w:color w:val="auto"/>
              </w:rPr>
            </w:pPr>
            <w:r>
              <w:rPr>
                <w:rFonts w:ascii="Arial" w:cs="Arial" w:eastAsia="Arial" w:hAnsi="Arial"/>
                <w:sz w:val="18"/>
                <w:szCs w:val="18"/>
                <w:b w:val="1"/>
                <w:bCs w:val="1"/>
                <w:color w:val="auto"/>
              </w:rPr>
              <w:t>86.3 %</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0.4 p.p.</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240" w:hanging="151"/>
        <w:spacing w:after="0"/>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Available seat miles - represents the aircraft seating capacity multiplied by the number of miles the seats are flown.</w:t>
      </w:r>
    </w:p>
    <w:p>
      <w:pPr>
        <w:spacing w:after="0" w:line="15" w:lineRule="exact"/>
        <w:rPr>
          <w:rFonts w:ascii="Arial" w:cs="Arial" w:eastAsia="Arial" w:hAnsi="Arial"/>
          <w:sz w:val="14"/>
          <w:szCs w:val="14"/>
          <w:color w:val="auto"/>
        </w:rPr>
      </w:pPr>
    </w:p>
    <w:p>
      <w:pPr>
        <w:ind w:left="240" w:hanging="151"/>
        <w:spacing w:after="0"/>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Revenue passenger miles - represents the number of miles flown by revenue passengers</w:t>
      </w:r>
    </w:p>
    <w:p>
      <w:pPr>
        <w:spacing w:after="0" w:line="14" w:lineRule="exact"/>
        <w:rPr>
          <w:rFonts w:ascii="Arial" w:cs="Arial" w:eastAsia="Arial" w:hAnsi="Arial"/>
          <w:sz w:val="14"/>
          <w:szCs w:val="14"/>
          <w:color w:val="auto"/>
        </w:rPr>
      </w:pPr>
    </w:p>
    <w:p>
      <w:pPr>
        <w:ind w:left="240" w:hanging="151"/>
        <w:spacing w:after="0"/>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Load factor - represents the percentage of aircraft seating capacity that is utilized</w:t>
      </w:r>
    </w:p>
    <w:p>
      <w:pPr>
        <w:spacing w:after="0" w:line="20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For March 2026, Copa Holdings' capacity (ASMs) increased by 14.8%, while system-wide passenger traffic (RPMs) increased by 15.3% compared to 2025. As a result, the system load factor for the month was 86.7%, 0.4 percentage points higher than in March 2025.</w:t>
      </w:r>
    </w:p>
    <w:p>
      <w:pPr>
        <w:spacing w:after="0" w:line="156"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i w:val="1"/>
          <w:iCs w:val="1"/>
          <w:color w:val="auto"/>
        </w:rPr>
        <w:t>Copa Holdings is a leading Latin American provider of passenger and cargo services. The Company, through its operating subsidiaries, provides service to countries in North, Central, and South America and the Caribbean. For more information, visit ir.copaair.com.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CPA-G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investor.relations@copaair.com</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2026-04-13T15:27:01Z</dcterms:created>
  <dcterms:modified xsi:type="dcterms:W3CDTF">2026-04-13T15:27:01Z</dcterms:modified>
</cp:coreProperties>
</file>