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6"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88"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4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22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3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Report on Form 6-K dated for the month of June 2022</w:t>
      </w:r>
    </w:p>
    <w:p>
      <w:pPr>
        <w:spacing w:after="0" w:line="200" w:lineRule="exact"/>
        <w:rPr>
          <w:sz w:val="24"/>
          <w:szCs w:val="24"/>
          <w:color w:val="auto"/>
        </w:rPr>
      </w:pPr>
    </w:p>
    <w:p>
      <w:pPr>
        <w:spacing w:after="0" w:line="21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Copa Holdings, S.A.</w:t>
      </w:r>
    </w:p>
    <w:p>
      <w:pPr>
        <w:spacing w:after="0" w:line="4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13"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Boulevard Costa del Este, Avenida Principal y Avenida de la Rotonda</w:t>
      </w:r>
    </w:p>
    <w:p>
      <w:pPr>
        <w:spacing w:after="0" w:line="30"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Urbanización Costa del Este</w:t>
      </w:r>
    </w:p>
    <w:p>
      <w:pPr>
        <w:spacing w:after="0" w:line="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Complejo Business Park, Torre Norte</w:t>
      </w:r>
    </w:p>
    <w:p>
      <w:pPr>
        <w:spacing w:after="0" w:line="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ParqueLefevre</w:t>
      </w:r>
    </w:p>
    <w:p>
      <w:pPr>
        <w:spacing w:after="0" w:line="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Panama City, Panama</w:t>
      </w:r>
    </w:p>
    <w:p>
      <w:pPr>
        <w:spacing w:after="0" w:line="8"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19"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2" w:lineRule="exact"/>
        <w:rPr>
          <w:sz w:val="24"/>
          <w:szCs w:val="24"/>
          <w:color w:val="auto"/>
        </w:rPr>
      </w:pPr>
    </w:p>
    <w:p>
      <w:pPr>
        <w:ind w:left="4240"/>
        <w:spacing w:after="0"/>
        <w:tabs>
          <w:tab w:leader="none" w:pos="5160" w:val="left"/>
          <w:tab w:leader="none" w:pos="564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Times New Roman" w:cs="Times New Roman" w:eastAsia="Times New Roman" w:hAnsi="Times New Roman"/>
          <w:sz w:val="18"/>
          <w:szCs w:val="18"/>
          <w:u w:val="single" w:color="auto"/>
          <w:color w:val="FF6600"/>
        </w:rPr>
        <w:t>X</w:t>
      </w:r>
      <w:r>
        <w:rPr>
          <w:sz w:val="20"/>
          <w:szCs w:val="20"/>
          <w:color w:val="auto"/>
        </w:rPr>
        <w:tab/>
      </w:r>
      <w:r>
        <w:rPr>
          <w:rFonts w:ascii="Times New Roman" w:cs="Times New Roman" w:eastAsia="Times New Roman" w:hAnsi="Times New Roman"/>
          <w:sz w:val="18"/>
          <w:szCs w:val="18"/>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-8255</wp:posOffset>
            </wp:positionV>
            <wp:extent cx="85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3370580</wp:posOffset>
            </wp:positionH>
            <wp:positionV relativeFrom="paragraph">
              <wp:posOffset>-8255</wp:posOffset>
            </wp:positionV>
            <wp:extent cx="850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4115435</wp:posOffset>
            </wp:positionH>
            <wp:positionV relativeFrom="paragraph">
              <wp:posOffset>-8255</wp:posOffset>
            </wp:positionV>
            <wp:extent cx="340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0995" cy="8255"/>
                    </a:xfrm>
                    <a:prstGeom prst="rect">
                      <a:avLst/>
                    </a:prstGeom>
                    <a:noFill/>
                  </pic:spPr>
                </pic:pic>
              </a:graphicData>
            </a:graphic>
          </wp:anchor>
        </w:drawing>
      </w:r>
    </w:p>
    <w:p>
      <w:pPr>
        <w:spacing w:after="0" w:line="202" w:lineRule="exact"/>
        <w:rPr>
          <w:sz w:val="24"/>
          <w:szCs w:val="24"/>
          <w:color w:val="auto"/>
        </w:rPr>
      </w:pPr>
    </w:p>
    <w:p>
      <w:pPr>
        <w:ind w:firstLine="588"/>
        <w:spacing w:after="0" w:line="279" w:lineRule="auto"/>
        <w:rPr>
          <w:sz w:val="20"/>
          <w:szCs w:val="20"/>
          <w:color w:val="auto"/>
        </w:rPr>
      </w:pPr>
      <w:r>
        <w:rPr>
          <w:rFonts w:ascii="Times New Roman" w:cs="Times New Roman" w:eastAsia="Times New Roman" w:hAnsi="Times New Roman"/>
          <w:sz w:val="18"/>
          <w:szCs w:val="18"/>
          <w:color w:val="auto"/>
        </w:rPr>
        <w:t>(Indicate by check whether the registrant by furnishing the information contained in this Form is also thereby furnishing the information to the Commission pursuant to Rule 12g3-2(b) under the Securities Exchange Act of 1934.)</w:t>
      </w:r>
    </w:p>
    <w:p>
      <w:pPr>
        <w:spacing w:after="0" w:line="149" w:lineRule="exact"/>
        <w:rPr>
          <w:sz w:val="24"/>
          <w:szCs w:val="24"/>
          <w:color w:val="auto"/>
        </w:rPr>
      </w:pPr>
    </w:p>
    <w:tbl>
      <w:tblPr>
        <w:tblLayout w:type="fixed"/>
        <w:tblInd w:w="600" w:type="dxa"/>
        <w:tblCellMar>
          <w:top w:w="0" w:type="dxa"/>
          <w:left w:w="0" w:type="dxa"/>
          <w:bottom w:w="0" w:type="dxa"/>
          <w:right w:w="0" w:type="dxa"/>
        </w:tblCellMar>
      </w:tblPr>
      <w:tr>
        <w:trPr>
          <w:trHeight w:val="207"/>
        </w:trPr>
        <w:tc>
          <w:tcPr>
            <w:tcW w:w="4420" w:type="dxa"/>
            <w:vAlign w:val="bottom"/>
          </w:tcPr>
          <w:p>
            <w:pPr>
              <w:ind w:left="4120"/>
              <w:spacing w:after="0"/>
              <w:rPr>
                <w:sz w:val="20"/>
                <w:szCs w:val="20"/>
                <w:color w:val="auto"/>
              </w:rPr>
            </w:pPr>
            <w:r>
              <w:rPr>
                <w:rFonts w:ascii="Times New Roman" w:cs="Times New Roman" w:eastAsia="Times New Roman" w:hAnsi="Times New Roman"/>
                <w:sz w:val="18"/>
                <w:szCs w:val="18"/>
                <w:color w:val="auto"/>
                <w:w w:val="99"/>
              </w:rPr>
              <w:t>Yes</w:t>
            </w:r>
          </w:p>
        </w:tc>
        <w:tc>
          <w:tcPr>
            <w:tcW w:w="540" w:type="dxa"/>
            <w:vAlign w:val="bottom"/>
          </w:tcPr>
          <w:p>
            <w:pPr>
              <w:spacing w:after="0"/>
              <w:rPr>
                <w:sz w:val="18"/>
                <w:szCs w:val="18"/>
                <w:color w:val="auto"/>
              </w:rPr>
            </w:pPr>
          </w:p>
        </w:tc>
        <w:tc>
          <w:tcPr>
            <w:tcW w:w="33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 xml:space="preserve">No   </w:t>
            </w:r>
            <w:r>
              <w:rPr>
                <w:rFonts w:ascii="Times New Roman" w:cs="Times New Roman" w:eastAsia="Times New Roman" w:hAnsi="Times New Roman"/>
                <w:sz w:val="18"/>
                <w:szCs w:val="18"/>
                <w:color w:val="FF6600"/>
              </w:rPr>
              <w:t>X</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FF66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9"/>
        </w:trPr>
        <w:tc>
          <w:tcPr>
            <w:tcW w:w="83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(If “Yes” is marked, indicate below the file number assigned to the registrant in connection with Rule 12g3-2(b);82-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Enclosure: Press Release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Arial" w:cs="Arial" w:eastAsia="Arial" w:hAnsi="Arial"/>
          <w:sz w:val="14"/>
          <w:szCs w:val="14"/>
          <w:b w:val="1"/>
          <w:bCs w:val="1"/>
          <w:color w:val="auto"/>
        </w:rPr>
        <w:t>COPA HOLDINGS ANNOUNCES MONTHLY TRAFFIC STATISTICS FOR MAY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285115</wp:posOffset>
            </wp:positionV>
            <wp:extent cx="717550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0800"/>
          </w:cols>
          <w:pgMar w:left="320" w:top="200" w:right="77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Copa Holdings, S.A.</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6/09/2022</w:t>
      </w:r>
    </w:p>
    <w:p>
      <w:pPr>
        <w:spacing w:after="0" w:line="8"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José Montero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4445</wp:posOffset>
            </wp:positionV>
            <wp:extent cx="3281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81045"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Name: José Montero</w:t>
      </w:r>
    </w:p>
    <w:p>
      <w:pPr>
        <w:spacing w:after="0" w:line="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CFO</w:t>
      </w:r>
    </w:p>
    <w:p>
      <w:pPr>
        <w:sectPr>
          <w:pgSz w:w="11900" w:h="16838" w:orient="portrait"/>
          <w:cols w:equalWidth="0" w:num="1">
            <w:col w:w="11180"/>
          </w:cols>
          <w:pgMar w:left="320" w:top="345" w:right="3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1"/>
          <w:szCs w:val="21"/>
          <w:b w:val="1"/>
          <w:bCs w:val="1"/>
          <w:color w:val="auto"/>
        </w:rPr>
        <w:t>Exhibit 99.</w:t>
      </w: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COPA HOLDINGS ANNOUNCES MONTHLY TRAFFIC STATISTICS FOR MAY 2022</w:t>
      </w:r>
    </w:p>
    <w:p>
      <w:pPr>
        <w:spacing w:after="0" w:line="28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1"/>
          <w:szCs w:val="21"/>
          <w:color w:val="auto"/>
        </w:rPr>
        <w:t>PANAMA CITY, June 9, 2022 /PRNewswire/ -- Copa Holdings, S.A. (NYSE: CPA), today released preliminary passenger traffic statistics for May 2022:</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65"/>
        </w:trPr>
        <w:tc>
          <w:tcPr>
            <w:tcW w:w="3880" w:type="dxa"/>
            <w:vAlign w:val="bottom"/>
            <w:tcBorders>
              <w:top w:val="single" w:sz="8" w:color="auto"/>
              <w:left w:val="single" w:sz="8" w:color="auto"/>
              <w:right w:val="single" w:sz="8" w:color="auto"/>
            </w:tcBorders>
          </w:tcPr>
          <w:p>
            <w:pPr>
              <w:spacing w:after="0"/>
              <w:rPr>
                <w:sz w:val="14"/>
                <w:szCs w:val="14"/>
                <w:color w:val="auto"/>
              </w:rPr>
            </w:pPr>
          </w:p>
        </w:tc>
        <w:tc>
          <w:tcPr>
            <w:tcW w:w="130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May</w:t>
            </w:r>
          </w:p>
        </w:tc>
        <w:tc>
          <w:tcPr>
            <w:tcW w:w="114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May</w:t>
            </w:r>
          </w:p>
        </w:tc>
        <w:tc>
          <w:tcPr>
            <w:tcW w:w="1260" w:type="dxa"/>
            <w:vAlign w:val="bottom"/>
            <w:tcBorders>
              <w:top w:val="single" w:sz="8" w:color="auto"/>
              <w:right w:val="single" w:sz="8" w:color="auto"/>
            </w:tcBorders>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15"/>
        </w:trPr>
        <w:tc>
          <w:tcPr>
            <w:tcW w:w="38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b w:val="1"/>
                <w:bCs w:val="1"/>
                <w:i w:val="1"/>
                <w:iCs w:val="1"/>
                <w:color w:val="auto"/>
              </w:rPr>
              <w:t>Operating Data</w:t>
            </w:r>
          </w:p>
        </w:tc>
        <w:tc>
          <w:tcPr>
            <w:tcW w:w="130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14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88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Copa Holdings (Consolidated)</w:t>
            </w: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880" w:type="dxa"/>
            <w:vAlign w:val="bottom"/>
            <w:tcBorders>
              <w:left w:val="single" w:sz="8" w:color="auto"/>
              <w:right w:val="single" w:sz="8" w:color="auto"/>
            </w:tcBorders>
          </w:tcPr>
          <w:p>
            <w:pPr>
              <w:ind w:left="180"/>
              <w:spacing w:after="0" w:line="188" w:lineRule="exact"/>
              <w:rPr>
                <w:sz w:val="20"/>
                <w:szCs w:val="20"/>
                <w:color w:val="auto"/>
              </w:rPr>
            </w:pPr>
            <w:r>
              <w:rPr>
                <w:rFonts w:ascii="Arial" w:cs="Arial" w:eastAsia="Arial" w:hAnsi="Arial"/>
                <w:sz w:val="13"/>
                <w:szCs w:val="13"/>
                <w:color w:val="auto"/>
              </w:rPr>
              <w:t xml:space="preserve">ASM (mm) </w:t>
            </w:r>
            <w:r>
              <w:rPr>
                <w:rFonts w:ascii="Arial" w:cs="Arial" w:eastAsia="Arial" w:hAnsi="Arial"/>
                <w:sz w:val="21"/>
                <w:szCs w:val="21"/>
                <w:color w:val="auto"/>
                <w:vertAlign w:val="superscript"/>
              </w:rPr>
              <w:t>(1)</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2,007.5</w:t>
            </w: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2,085.2</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8"/>
        </w:trPr>
        <w:tc>
          <w:tcPr>
            <w:tcW w:w="3880" w:type="dxa"/>
            <w:vAlign w:val="bottom"/>
            <w:tcBorders>
              <w:left w:val="single" w:sz="8" w:color="auto"/>
              <w:right w:val="single" w:sz="8" w:color="auto"/>
            </w:tcBorders>
          </w:tcPr>
          <w:p>
            <w:pPr>
              <w:ind w:left="180"/>
              <w:spacing w:after="0" w:line="188" w:lineRule="exact"/>
              <w:rPr>
                <w:sz w:val="20"/>
                <w:szCs w:val="20"/>
                <w:color w:val="auto"/>
              </w:rPr>
            </w:pPr>
            <w:r>
              <w:rPr>
                <w:rFonts w:ascii="Arial" w:cs="Arial" w:eastAsia="Arial" w:hAnsi="Arial"/>
                <w:sz w:val="13"/>
                <w:szCs w:val="13"/>
                <w:color w:val="auto"/>
              </w:rPr>
              <w:t xml:space="preserve">RPM (mm) </w:t>
            </w:r>
            <w:r>
              <w:rPr>
                <w:rFonts w:ascii="Arial" w:cs="Arial" w:eastAsia="Arial" w:hAnsi="Arial"/>
                <w:sz w:val="21"/>
                <w:szCs w:val="21"/>
                <w:color w:val="auto"/>
                <w:vertAlign w:val="superscript"/>
              </w:rPr>
              <w:t>(2)</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1,720.4</w:t>
            </w: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1,796.3</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0"/>
        </w:trPr>
        <w:tc>
          <w:tcPr>
            <w:tcW w:w="3880" w:type="dxa"/>
            <w:vAlign w:val="bottom"/>
            <w:tcBorders>
              <w:left w:val="single" w:sz="8" w:color="auto"/>
              <w:bottom w:val="single" w:sz="8" w:color="auto"/>
              <w:right w:val="single" w:sz="8" w:color="auto"/>
            </w:tcBorders>
          </w:tcPr>
          <w:p>
            <w:pPr>
              <w:ind w:left="180"/>
              <w:spacing w:after="0" w:line="200" w:lineRule="exact"/>
              <w:rPr>
                <w:sz w:val="20"/>
                <w:szCs w:val="20"/>
                <w:color w:val="auto"/>
              </w:rPr>
            </w:pPr>
            <w:r>
              <w:rPr>
                <w:rFonts w:ascii="Arial" w:cs="Arial" w:eastAsia="Arial" w:hAnsi="Arial"/>
                <w:sz w:val="14"/>
                <w:szCs w:val="14"/>
                <w:b w:val="1"/>
                <w:bCs w:val="1"/>
                <w:color w:val="auto"/>
              </w:rPr>
              <w:t xml:space="preserve">Load Factor </w:t>
            </w:r>
            <w:r>
              <w:rPr>
                <w:rFonts w:ascii="Arial" w:cs="Arial" w:eastAsia="Arial" w:hAnsi="Arial"/>
                <w:sz w:val="23"/>
                <w:szCs w:val="23"/>
                <w:b w:val="1"/>
                <w:bCs w:val="1"/>
                <w:color w:val="auto"/>
                <w:vertAlign w:val="superscript"/>
              </w:rPr>
              <w:t>(3)</w:t>
            </w: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85.7%</w:t>
            </w: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86.1%</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-0.4p.p.</w:t>
            </w:r>
          </w:p>
        </w:tc>
        <w:tc>
          <w:tcPr>
            <w:tcW w:w="0" w:type="dxa"/>
            <w:vAlign w:val="bottom"/>
          </w:tcPr>
          <w:p>
            <w:pPr>
              <w:spacing w:after="0"/>
              <w:rPr>
                <w:sz w:val="1"/>
                <w:szCs w:val="1"/>
                <w:color w:val="auto"/>
              </w:rPr>
            </w:pPr>
          </w:p>
        </w:tc>
      </w:tr>
    </w:tbl>
    <w:p>
      <w:pPr>
        <w:ind w:left="300" w:hanging="207"/>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Available seat miles - represents the aircraft seating capacity multiplied by the number of miles the seats are flown.</w:t>
      </w:r>
    </w:p>
    <w:p>
      <w:pPr>
        <w:spacing w:after="0" w:line="4" w:lineRule="exact"/>
        <w:rPr>
          <w:rFonts w:ascii="Arial" w:cs="Arial" w:eastAsia="Arial" w:hAnsi="Arial"/>
          <w:sz w:val="14"/>
          <w:szCs w:val="14"/>
          <w:color w:val="auto"/>
        </w:rPr>
      </w:pPr>
    </w:p>
    <w:p>
      <w:pPr>
        <w:ind w:left="300" w:hanging="207"/>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Revenue passenger miles - represents the numbers of miles flown by revenue passengers</w:t>
      </w:r>
    </w:p>
    <w:p>
      <w:pPr>
        <w:ind w:left="300" w:hanging="207"/>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Load factor - represents the percentage of aircraft seating capacity that is actually utilized</w:t>
      </w:r>
    </w:p>
    <w:p>
      <w:pPr>
        <w:spacing w:after="0" w:line="183"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1"/>
          <w:szCs w:val="21"/>
          <w:color w:val="auto"/>
        </w:rPr>
        <w:t>Given the irregular nature of the Company's operations starting in March 2020 due to the Covid-19 pandemic, we will compare this traffic report to 2019 statistics.</w:t>
      </w:r>
    </w:p>
    <w:p>
      <w:pPr>
        <w:spacing w:after="0" w:line="140"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1"/>
          <w:szCs w:val="21"/>
          <w:color w:val="auto"/>
        </w:rPr>
        <w:t>Consolidated capacity (ASMs) came in 3.7% lower than May 2019, while passenger traffic (RPMs) decreased 4.2%, which resulted in an 85.7% load factor.</w:t>
      </w:r>
    </w:p>
    <w:p>
      <w:pPr>
        <w:spacing w:after="0" w:line="136"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1"/>
          <w:szCs w:val="21"/>
          <w:i w:val="1"/>
          <w:iCs w:val="1"/>
          <w:color w:val="auto"/>
        </w:rPr>
        <w:t xml:space="preserve">Copa Holdings is a leading Latin American provider of passenger and cargo services. The Company, through its operating subsidiaries, provides service to countries in North, Central and South America and the Caribbean. For more information visit </w:t>
      </w:r>
      <w:r>
        <w:rPr>
          <w:rFonts w:ascii="Times New Roman" w:cs="Times New Roman" w:eastAsia="Times New Roman" w:hAnsi="Times New Roman"/>
          <w:sz w:val="21"/>
          <w:szCs w:val="21"/>
          <w:color w:val="auto"/>
        </w:rPr>
        <w:t>www.copaair.com</w:t>
      </w:r>
      <w:r>
        <w:rPr>
          <w:rFonts w:ascii="Times New Roman" w:cs="Times New Roman" w:eastAsia="Times New Roman" w:hAnsi="Times New Roman"/>
          <w:sz w:val="21"/>
          <w:szCs w:val="21"/>
          <w:i w:val="1"/>
          <w:iCs w:val="1"/>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CPA-G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PRESS RELEASE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Daniel Tapia – Panamá</w:t>
      </w:r>
    </w:p>
    <w:p>
      <w:pPr>
        <w:spacing w:after="0"/>
        <w:rPr>
          <w:sz w:val="20"/>
          <w:szCs w:val="20"/>
          <w:color w:val="auto"/>
        </w:rPr>
      </w:pPr>
      <w:r>
        <w:rPr>
          <w:rFonts w:ascii="Times New Roman" w:cs="Times New Roman" w:eastAsia="Times New Roman" w:hAnsi="Times New Roman"/>
          <w:sz w:val="21"/>
          <w:szCs w:val="21"/>
          <w:color w:val="auto"/>
        </w:rPr>
        <w:t>Director – Investor Relations</w:t>
      </w:r>
    </w:p>
    <w:p>
      <w:pPr>
        <w:spacing w:after="0"/>
        <w:rPr>
          <w:sz w:val="20"/>
          <w:szCs w:val="20"/>
          <w:color w:val="auto"/>
        </w:rPr>
      </w:pPr>
      <w:r>
        <w:rPr>
          <w:rFonts w:ascii="Times New Roman" w:cs="Times New Roman" w:eastAsia="Times New Roman" w:hAnsi="Times New Roman"/>
          <w:sz w:val="21"/>
          <w:szCs w:val="21"/>
          <w:color w:val="auto"/>
        </w:rPr>
        <w:t>011 (507) 304-2774</w:t>
      </w:r>
    </w:p>
    <w:sectPr>
      <w:pgSz w:w="11900" w:h="16838" w:orient="portrait"/>
      <w:cols w:equalWidth="0" w:num="1">
        <w:col w:w="11140"/>
      </w:cols>
      <w:pgMar w:left="500" w:top="1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2022-06-10T05:13:01Z</dcterms:created>
  <dcterms:modified xsi:type="dcterms:W3CDTF">2022-06-10T05:13:01Z</dcterms:modified>
</cp:coreProperties>
</file>