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120" w:type="dxa"/>
            <w:vAlign w:val="bottom"/>
          </w:tcPr>
          <w:p>
            <w:pPr>
              <w:ind w:left="7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40" w:type="dxa"/>
            <w:vAlign w:val="bottom"/>
            <w:vMerge w:val="restart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6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40" w:type="dxa"/>
            <w:vAlign w:val="bottom"/>
            <w:vMerge w:val="restart"/>
          </w:tcPr>
          <w:p>
            <w:pPr>
              <w:jc w:val="center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6927215</wp:posOffset>
            </wp:positionH>
            <wp:positionV relativeFrom="paragraph">
              <wp:posOffset>-520065</wp:posOffset>
            </wp:positionV>
            <wp:extent cx="52705" cy="533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5613400</wp:posOffset>
            </wp:positionH>
            <wp:positionV relativeFrom="paragraph">
              <wp:posOffset>-520065</wp:posOffset>
            </wp:positionV>
            <wp:extent cx="52705" cy="533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15240</wp:posOffset>
            </wp:positionV>
            <wp:extent cx="7016115" cy="29857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115" cy="298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4" w:right="439" w:bottom="1440" w:gutter="0" w:footer="0" w:header="0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680" w:type="dxa"/>
            <w:vAlign w:val="bottom"/>
            <w:gridSpan w:val="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9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jc w:val="center"/>
              <w:spacing w:after="0" w:line="194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Donkersloot Peter Alexander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6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Copa Holdings, S.A.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CPA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6020"/>
          </w:cols>
          <w:pgMar w:left="440" w:top="204" w:right="439" w:bottom="1440" w:gutter="0" w:footer="0" w:header="0"/>
          <w:type w:val="continuous"/>
        </w:sectPr>
      </w:pP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BUSINESS PARK NORTH TOWER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COSTA DEL ESTE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1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PANAMA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R1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0816-06819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860" w:firstLine="9"/>
        <w:spacing w:after="0" w:line="249" w:lineRule="auto"/>
        <w:tabs>
          <w:tab w:leader="none" w:pos="11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53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95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880" w:firstLine="5"/>
        <w:spacing w:after="0" w:line="249" w:lineRule="auto"/>
        <w:tabs>
          <w:tab w:leader="none" w:pos="114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If Amendment, Date of Original Filed (Month/Day/Year)</w:t>
      </w:r>
    </w:p>
    <w:p>
      <w:pPr>
        <w:spacing w:after="0" w:line="217" w:lineRule="exact"/>
        <w:rPr>
          <w:rFonts w:ascii="Arial" w:cs="Arial" w:eastAsia="Arial" w:hAnsi="Arial"/>
          <w:sz w:val="11"/>
          <w:szCs w:val="11"/>
          <w:color w:val="auto"/>
        </w:rPr>
      </w:pPr>
    </w:p>
    <w:p>
      <w:pPr>
        <w:ind w:left="-5" w:right="260" w:firstLine="5"/>
        <w:spacing w:after="0" w:line="249" w:lineRule="auto"/>
        <w:tabs>
          <w:tab w:leader="none" w:pos="114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Individual or Joint/Group Filing (Check Applicable Line)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5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One Reporting Person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55" w:right="42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9" w:space="720"/>
            <w:col w:w="3111" w:space="185"/>
            <w:col w:w="2715"/>
          </w:cols>
          <w:pgMar w:left="440" w:top="204" w:right="4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Table I - Non-Derivative Securities Beneficially Owned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3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7"/>
        </w:trPr>
        <w:tc>
          <w:tcPr>
            <w:tcW w:w="3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4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147"/>
        </w:trPr>
        <w:tc>
          <w:tcPr>
            <w:tcW w:w="3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 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13,239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 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5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1. Includes 4,901 shares that represent restricted stock units ("RSUs"). Each RSU represents a contingent right to received one share of the Issuer's Class A common stock upon settlement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Exhibit 24 - Power of Attorney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/s/ Ambar Vargas,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03/18/2026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5 (b)(v).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both"/>
        <w:ind w:left="40" w:right="4820" w:hanging="3"/>
        <w:spacing w:after="0" w:line="333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4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387985</wp:posOffset>
            </wp:positionH>
            <wp:positionV relativeFrom="page">
              <wp:posOffset>305435</wp:posOffset>
            </wp:positionV>
            <wp:extent cx="6939915" cy="9385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9915" cy="938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387985</wp:posOffset>
            </wp:positionH>
            <wp:positionV relativeFrom="page">
              <wp:posOffset>427355</wp:posOffset>
            </wp:positionV>
            <wp:extent cx="6939915" cy="937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9915" cy="937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116860" TargetMode="External"/><Relationship Id="rId12" Type="http://schemas.openxmlformats.org/officeDocument/2006/relationships/hyperlink" Target="http://www.sec.gov/cgi-bin/browse-edgar?action=getcompany&amp;CIK=0001345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2026-03-18T14:39:55Z</dcterms:created>
  <dcterms:modified xsi:type="dcterms:W3CDTF">2026-03-18T14:39:55Z</dcterms:modified>
</cp:coreProperties>
</file>