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76"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76" w:before="12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4"/>
        </w:rPr>
      </w:pPr>
      <w:r>
        <w:rPr>
          <w:rFonts w:ascii="Times New Roman;serif" w:hAnsi="Times New Roman;serif"/>
          <w:b/>
          <w:color w:val="000000"/>
          <w:sz w:val="24"/>
        </w:rPr>
        <w:t>Report of Foreign Issuer</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76"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Report on Form 6-K dated for the month of September 2026</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48"/>
        </w:rPr>
      </w:pPr>
      <w:r>
        <w:rPr>
          <w:rFonts w:ascii="Times New Roman;serif" w:hAnsi="Times New Roman;serif"/>
          <w:b/>
          <w:color w:val="000000"/>
          <w:sz w:val="48"/>
        </w:rPr>
        <w:t>Copa Holdings, S.A.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(Translation of Registrant’s Name Into English)</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jc w:val="center"/>
        <w:rPr>
          <w:rFonts w:ascii="Times New Roman;serif" w:hAnsi="Times New Roman;serif"/>
          <w:b/>
          <w:color w:val="000000"/>
          <w:sz w:val="20"/>
        </w:rPr>
      </w:pPr>
      <w:r>
        <w:rPr>
          <w:rFonts w:ascii="Times New Roman;serif" w:hAnsi="Times New Roman;serif"/>
          <w:b/>
          <w:color w:val="000000"/>
          <w:sz w:val="20"/>
        </w:rPr>
        <w:t>Boulevard Costa del Este, Avenida Principal y Avenida de la Rotonda</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Urbanización Costa del Este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Complejo Business Park, Torre Norte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ParqueLefevre</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Panama City, Panama</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p>
      <w:pPr>
        <w:pStyle w:val="TextBody"/>
        <w:bidi w:val="0"/>
        <w:spacing w:lineRule="auto" w:line="276" w:before="240" w:after="283"/>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w:t>
      </w:r>
    </w:p>
    <w:p>
      <w:pPr>
        <w:pStyle w:val="TextBody"/>
        <w:bidi w:val="0"/>
        <w:spacing w:lineRule="auto" w:line="276" w:before="2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tbl>
      <w:tblPr>
        <w:tblW w:w="3583" w:type="dxa"/>
        <w:jc w:val="center"/>
        <w:tblInd w:w="0" w:type="dxa"/>
        <w:tblLayout w:type="fixed"/>
        <w:tblCellMar>
          <w:top w:w="28" w:type="dxa"/>
          <w:left w:w="28" w:type="dxa"/>
          <w:bottom w:w="28" w:type="dxa"/>
          <w:right w:w="28" w:type="dxa"/>
        </w:tblCellMar>
      </w:tblPr>
      <w:tblGrid>
        <w:gridCol w:w="124"/>
        <w:gridCol w:w="109"/>
        <w:gridCol w:w="109"/>
        <w:gridCol w:w="314"/>
        <w:gridCol w:w="314"/>
        <w:gridCol w:w="316"/>
        <w:gridCol w:w="109"/>
        <w:gridCol w:w="109"/>
        <w:gridCol w:w="109"/>
        <w:gridCol w:w="109"/>
        <w:gridCol w:w="109"/>
        <w:gridCol w:w="109"/>
        <w:gridCol w:w="314"/>
        <w:gridCol w:w="314"/>
        <w:gridCol w:w="3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Form 40-F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(Indicate by check whether the registrant by furnishing the information contained in this Form is also thereby furnishing the information to the Commission pursuant to Rule 12g3-2(b) under the Securities Exchange Act of 1934.)</w:t>
      </w:r>
    </w:p>
    <w:tbl>
      <w:tblPr>
        <w:tblW w:w="2447" w:type="dxa"/>
        <w:jc w:val="center"/>
        <w:tblInd w:w="0" w:type="dxa"/>
        <w:tblLayout w:type="fixed"/>
        <w:tblCellMar>
          <w:top w:w="28" w:type="dxa"/>
          <w:left w:w="28" w:type="dxa"/>
          <w:bottom w:w="28" w:type="dxa"/>
          <w:right w:w="28" w:type="dxa"/>
        </w:tblCellMar>
      </w:tblPr>
      <w:tblGrid>
        <w:gridCol w:w="124"/>
        <w:gridCol w:w="109"/>
        <w:gridCol w:w="109"/>
        <w:gridCol w:w="135"/>
        <w:gridCol w:w="135"/>
        <w:gridCol w:w="136"/>
        <w:gridCol w:w="109"/>
        <w:gridCol w:w="109"/>
        <w:gridCol w:w="109"/>
        <w:gridCol w:w="109"/>
        <w:gridCol w:w="109"/>
        <w:gridCol w:w="109"/>
        <w:gridCol w:w="115"/>
        <w:gridCol w:w="115"/>
        <w:gridCol w:w="116"/>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283"/>
        <w:ind w:left="0" w:right="0" w:firstLine="1260"/>
        <w:jc w:val="left"/>
        <w:rPr>
          <w:rFonts w:ascii="Times New Roman;serif" w:hAnsi="Times New Roman;serif"/>
          <w:b w:val="false"/>
          <w:color w:val="000000"/>
          <w:sz w:val="20"/>
        </w:rPr>
      </w:pPr>
      <w:r>
        <w:rPr>
          <w:rFonts w:ascii="Times New Roman;serif" w:hAnsi="Times New Roman;serif"/>
          <w:b w:val="false"/>
          <w:color w:val="000000"/>
          <w:sz w:val="20"/>
        </w:rPr>
        <w:t>(If “Yes” is marked, indicate below the file number assigned to the registrant in connection with Rule 12g3-2(b);82- )</w:t>
      </w:r>
    </w:p>
    <w:p>
      <w:pPr>
        <w:pStyle w:val="TextBody"/>
        <w:bidi w:val="0"/>
        <w:spacing w:lineRule="auto" w:line="288" w:before="240" w:after="283"/>
        <w:jc w:val="left"/>
        <w:rPr/>
      </w:pPr>
      <w:r>
        <w:rPr>
          <w:rFonts w:ascii="Times New Roman;serif" w:hAnsi="Times New Roman;serif"/>
          <w:b w:val="false"/>
          <w:color w:val="000000"/>
          <w:sz w:val="20"/>
        </w:rPr>
        <w:t xml:space="preserve">Enclosure: Press Release </w:t>
      </w:r>
      <w:r>
        <w:rPr>
          <w:rFonts w:ascii="Times New Roman;serif" w:hAnsi="Times New Roman;serif"/>
          <w:b w:val="false"/>
          <w:color w:val="000000"/>
          <w:sz w:val="16"/>
        </w:rPr>
        <w:t xml:space="preserve">- </w:t>
      </w:r>
      <w:r>
        <w:rPr>
          <w:rFonts w:ascii="Arial;sans-serif" w:hAnsi="Arial;sans-serif"/>
          <w:b/>
          <w:color w:val="000000"/>
          <w:sz w:val="16"/>
        </w:rPr>
        <w:t>Copa Holdings Announces Monthly Traffic Statistics for August 2026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3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320"/>
                        <w:jc w:val="left"/>
                        <w:rPr/>
                      </w:pPr>
                      <w:r>
                        <w:rPr/>
                      </w:r>
                    </w:p>
                  </w:txbxContent>
                </v:textbox>
                <w10:wrap type="none"/>
              </v:rect>
            </w:pict>
          </mc:Fallback>
        </mc:AlternateContent>
      </w:r>
    </w:p>
    <w:p>
      <w:pPr>
        <w:pStyle w:val="TextBody"/>
        <w:bidi w:val="0"/>
        <w:spacing w:lineRule="auto" w:line="276" w:before="480" w:after="283"/>
        <w:ind w:left="0" w:right="0" w:hanging="284"/>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48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4337" w:type="dxa"/>
        <w:jc w:val="left"/>
        <w:tblInd w:w="0" w:type="dxa"/>
        <w:tblLayout w:type="fixed"/>
        <w:tblCellMar>
          <w:top w:w="28" w:type="dxa"/>
          <w:left w:w="28" w:type="dxa"/>
          <w:bottom w:w="28" w:type="dxa"/>
          <w:right w:w="28" w:type="dxa"/>
        </w:tblCellMar>
      </w:tblPr>
      <w:tblGrid>
        <w:gridCol w:w="472"/>
        <w:gridCol w:w="415"/>
        <w:gridCol w:w="417"/>
        <w:gridCol w:w="286"/>
        <w:gridCol w:w="286"/>
        <w:gridCol w:w="286"/>
        <w:gridCol w:w="630"/>
        <w:gridCol w:w="630"/>
        <w:gridCol w:w="915"/>
      </w:tblGrid>
      <w:tr>
        <w:trPr/>
        <w:tc>
          <w:tcPr>
            <w:tcW w:w="472"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Copa Holdings, S.A. </w:t>
              <w:br/>
              <w:t>(Registrant)</w:t>
            </w:r>
          </w:p>
        </w:tc>
      </w:tr>
      <w:tr>
        <w:trPr/>
        <w:tc>
          <w:tcPr>
            <w:tcW w:w="1304" w:type="dxa"/>
            <w:gridSpan w:val="3"/>
            <w:tcBorders/>
            <w:tcMar>
              <w:top w:w="0" w:type="dxa"/>
              <w:left w:w="0" w:type="dxa"/>
              <w:bottom w:w="0" w:type="dxa"/>
              <w:right w:w="0" w:type="dxa"/>
            </w:tcMar>
            <w:vAlign w:val="center"/>
          </w:tcPr>
          <w:p>
            <w:pPr>
              <w:pStyle w:val="TableContents"/>
              <w:bidi w:val="0"/>
              <w:spacing w:lineRule="auto" w:line="276" w:before="0" w:after="0"/>
              <w:jc w:val="left"/>
              <w:rPr/>
            </w:pPr>
            <w:r>
              <w:rPr>
                <w:color w:val="000000"/>
              </w:rPr>
              <w:t> </w:t>
            </w:r>
            <w:r>
              <w:rPr>
                <w:rFonts w:ascii="Times New Roman;serif" w:hAnsi="Times New Roman;serif"/>
                <w:b w:val="false"/>
                <w:color w:val="000000"/>
                <w:sz w:val="20"/>
              </w:rPr>
              <w:t xml:space="preserve">Date: </w:t>
            </w:r>
            <w:r>
              <w:rPr>
                <w:rFonts w:ascii="Times New Roman;serif" w:hAnsi="Times New Roman;serif"/>
                <w:b w:val="false"/>
                <w:color w:val="000000"/>
                <w:sz w:val="20"/>
                <w:u w:val="single"/>
              </w:rPr>
              <w:t>9/10/26</w:t>
            </w:r>
          </w:p>
        </w:tc>
        <w:tc>
          <w:tcPr>
            <w:tcW w:w="303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2175"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val="false"/>
                <w:color w:val="000000"/>
                <w:sz w:val="20"/>
              </w:rPr>
            </w:pPr>
            <w:r>
              <w:rPr>
                <w:rFonts w:ascii="Times New Roman;serif" w:hAnsi="Times New Roman;serif"/>
                <w:b w:val="false"/>
                <w:color w:val="000000"/>
                <w:sz w:val="20"/>
              </w:rPr>
              <w:t>/s/ Peter Donkersloot</w:t>
            </w:r>
          </w:p>
        </w:tc>
      </w:tr>
      <w:tr>
        <w:trPr/>
        <w:tc>
          <w:tcPr>
            <w:tcW w:w="1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Peter Donkersloot</w:t>
              <w:br/>
              <w:t>Title: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right"/>
        <w:rPr>
          <w:rFonts w:ascii="Arial;sans-serif" w:hAnsi="Arial;sans-serif"/>
          <w:b/>
          <w:color w:val="000000"/>
          <w:sz w:val="20"/>
        </w:rPr>
      </w:pPr>
      <w:r>
        <w:rPr>
          <w:rFonts w:ascii="Arial;sans-serif" w:hAnsi="Arial;sans-serif"/>
          <w:b/>
          <w:color w:val="000000"/>
          <w:sz w:val="20"/>
        </w:rPr>
        <w:t xml:space="preserve">Exhibit 99.1 </w:t>
      </w:r>
    </w:p>
    <w:p>
      <w:pPr>
        <w:pStyle w:val="TextBody"/>
        <w:bidi w:val="0"/>
        <w:spacing w:lineRule="auto" w:line="276" w:before="240" w:after="283"/>
        <w:jc w:val="center"/>
        <w:rPr>
          <w:rFonts w:ascii="Arial;sans-serif" w:hAnsi="Arial;sans-serif"/>
          <w:b/>
          <w:color w:val="000000"/>
          <w:sz w:val="20"/>
        </w:rPr>
      </w:pPr>
      <w:r>
        <w:rPr>
          <w:rFonts w:ascii="Arial;sans-serif" w:hAnsi="Arial;sans-serif"/>
          <w:b/>
          <w:color w:val="000000"/>
          <w:sz w:val="20"/>
        </w:rPr>
        <w:t>Copa Holdings Announces Monthly Traffic Statistics for August 2026</w:t>
      </w:r>
    </w:p>
    <w:p>
      <w:pPr>
        <w:pStyle w:val="TextBody"/>
        <w:bidi w:val="0"/>
        <w:spacing w:lineRule="auto" w:line="276" w:before="240" w:after="283"/>
        <w:jc w:val="both"/>
        <w:rPr>
          <w:rFonts w:ascii="Arial;sans-serif" w:hAnsi="Arial;sans-serif"/>
          <w:b w:val="false"/>
          <w:color w:val="000000"/>
          <w:sz w:val="20"/>
        </w:rPr>
      </w:pPr>
      <w:r>
        <w:rPr>
          <w:rFonts w:ascii="Arial;sans-serif" w:hAnsi="Arial;sans-serif"/>
          <w:b w:val="false"/>
          <w:color w:val="000000"/>
          <w:sz w:val="20"/>
        </w:rPr>
        <w:t>PANAMA CITY, September 10, 2026 (GLOBE NEWSWIRE) -- Copa Holdings, S.A. (NYSE: CPA) today released preliminary passenger traffic statistics for August 2026:</w:t>
      </w:r>
    </w:p>
    <w:tbl>
      <w:tblPr>
        <w:tblW w:w="6243" w:type="dxa"/>
        <w:jc w:val="left"/>
        <w:tblInd w:w="0" w:type="dxa"/>
        <w:tblLayout w:type="fixed"/>
        <w:tblCellMar>
          <w:top w:w="28" w:type="dxa"/>
          <w:left w:w="28" w:type="dxa"/>
          <w:bottom w:w="28" w:type="dxa"/>
          <w:right w:w="28" w:type="dxa"/>
        </w:tblCellMar>
      </w:tblPr>
      <w:tblGrid>
        <w:gridCol w:w="1054"/>
        <w:gridCol w:w="926"/>
        <w:gridCol w:w="930"/>
        <w:gridCol w:w="270"/>
        <w:gridCol w:w="271"/>
        <w:gridCol w:w="470"/>
        <w:gridCol w:w="270"/>
        <w:gridCol w:w="271"/>
        <w:gridCol w:w="470"/>
        <w:gridCol w:w="270"/>
        <w:gridCol w:w="271"/>
        <w:gridCol w:w="770"/>
      </w:tblGrid>
      <w:tr>
        <w:trPr/>
        <w:tc>
          <w:tcPr>
            <w:tcW w:w="105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Copa Holdings (Consolidated)</w:t>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xml:space="preserve">August </w:t>
              <w:br/>
              <w:t>2026</w:t>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xml:space="preserve">August </w:t>
              <w:br/>
              <w:t>2025</w:t>
            </w:r>
          </w:p>
        </w:tc>
        <w:tc>
          <w:tcPr>
            <w:tcW w:w="131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Arial;sans-serif" w:hAnsi="Arial;sans-serif"/>
                <w:b/>
                <w:color w:val="000000"/>
                <w:sz w:val="20"/>
              </w:rPr>
            </w:pPr>
            <w:r>
              <w:rPr>
                <w:rFonts w:ascii="Arial;sans-serif" w:hAnsi="Arial;sans-serif"/>
                <w:b/>
                <w:color w:val="000000"/>
                <w:sz w:val="20"/>
              </w:rPr>
              <w:t>% Change</w:t>
            </w:r>
          </w:p>
        </w:tc>
      </w:tr>
      <w:tr>
        <w:trPr/>
        <w:tc>
          <w:tcPr>
            <w:tcW w:w="29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20"/>
              </w:rPr>
              <w:t xml:space="preserve">ASM (mm) </w:t>
            </w:r>
            <w:r>
              <w:rPr>
                <w:rFonts w:ascii="Arial;sans-serif" w:hAnsi="Arial;sans-serif"/>
                <w:b w:val="false"/>
                <w:color w:val="000000"/>
                <w:sz w:val="13"/>
              </w:rPr>
              <w:t>(1)</w:t>
            </w:r>
          </w:p>
        </w:tc>
        <w:tc>
          <w:tcPr>
            <w:tcW w:w="1011"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3,219.1</w:t>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2,755.1</w:t>
            </w:r>
          </w:p>
        </w:tc>
        <w:tc>
          <w:tcPr>
            <w:tcW w:w="541"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770" w:type="dxa"/>
            <w:tcBorders>
              <w:top w:val="single" w:sz="8" w:space="0" w:color="000000"/>
            </w:tcBorders>
            <w:tcMar>
              <w:top w:w="52"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val="false"/>
                <w:color w:val="000000"/>
                <w:sz w:val="20"/>
              </w:rPr>
              <w:t xml:space="preserve">RPM (mm) </w:t>
            </w:r>
            <w:r>
              <w:rPr>
                <w:rFonts w:ascii="Arial;sans-serif" w:hAnsi="Arial;sans-serif"/>
                <w:b w:val="false"/>
                <w:color w:val="000000"/>
                <w:sz w:val="13"/>
              </w:rPr>
              <w:t>(2)</w:t>
            </w:r>
          </w:p>
        </w:tc>
        <w:tc>
          <w:tcPr>
            <w:tcW w:w="1011" w:type="dxa"/>
            <w:gridSpan w:val="3"/>
            <w:tcBorders>
              <w:left w:val="single" w:sz="8" w:space="0" w:color="000000"/>
            </w:tcBorders>
            <w:tcMar>
              <w:top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2,840.9</w:t>
            </w:r>
          </w:p>
        </w:tc>
        <w:tc>
          <w:tcPr>
            <w:tcW w:w="1011"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2,432.2</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770"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2910" w:type="dxa"/>
            <w:gridSpan w:val="3"/>
            <w:tcBorders/>
            <w:tcMar>
              <w:top w:w="0" w:type="dxa"/>
              <w:left w:w="0" w:type="dxa"/>
              <w:bottom w:w="0" w:type="dxa"/>
              <w:right w:w="0" w:type="dxa"/>
            </w:tcMar>
            <w:vAlign w:val="center"/>
          </w:tcPr>
          <w:p>
            <w:pPr>
              <w:pStyle w:val="TableContents"/>
              <w:bidi w:val="0"/>
              <w:spacing w:lineRule="auto" w:line="276" w:before="0" w:after="0"/>
              <w:jc w:val="right"/>
              <w:rPr/>
            </w:pPr>
            <w:r>
              <w:rPr>
                <w:rFonts w:ascii="Arial;sans-serif" w:hAnsi="Arial;sans-serif"/>
                <w:b/>
                <w:color w:val="000000"/>
                <w:sz w:val="20"/>
              </w:rPr>
              <w:t xml:space="preserve">Load Factor </w:t>
            </w:r>
            <w:r>
              <w:rPr>
                <w:rFonts w:ascii="Arial;sans-serif" w:hAnsi="Arial;sans-serif"/>
                <w:b w:val="false"/>
                <w:color w:val="000000"/>
                <w:sz w:val="13"/>
              </w:rPr>
              <w:t>(3)</w:t>
            </w:r>
          </w:p>
        </w:tc>
        <w:tc>
          <w:tcPr>
            <w:tcW w:w="541" w:type="dxa"/>
            <w:gridSpan w:val="2"/>
            <w:tcBorders>
              <w:left w:val="single" w:sz="8" w:space="0" w:color="000000"/>
            </w:tcBorders>
            <w:tcMar>
              <w:top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88.3</w:t>
            </w:r>
            <w:r>
              <w:rPr>
                <w:color w:val="000000"/>
              </w:rPr>
              <w:t> </w:t>
            </w:r>
          </w:p>
        </w:tc>
        <w:tc>
          <w:tcPr>
            <w:tcW w:w="470"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pPr>
            <w:r>
              <w:rPr>
                <w:rFonts w:ascii="Arial;sans-serif" w:hAnsi="Arial;sans-serif"/>
                <w:b/>
                <w:color w:val="000000"/>
                <w:sz w:val="20"/>
              </w:rPr>
              <w:t>88.3</w:t>
            </w:r>
            <w:r>
              <w:rPr>
                <w:color w:val="000000"/>
              </w:rPr>
              <w:t> </w:t>
            </w:r>
          </w:p>
        </w:tc>
        <w:tc>
          <w:tcPr>
            <w:tcW w:w="470" w:type="dxa"/>
            <w:tcBorders/>
            <w:tcMar>
              <w:top w:w="0" w:type="dxa"/>
              <w:left w:w="0" w:type="dxa"/>
              <w:bottom w:w="0" w:type="dxa"/>
              <w:right w:w="0" w:type="dxa"/>
            </w:tcMar>
            <w:vAlign w:val="center"/>
          </w:tcPr>
          <w:p>
            <w:pPr>
              <w:pStyle w:val="TableContents"/>
              <w:bidi w:val="0"/>
              <w:spacing w:lineRule="auto" w:line="273" w:before="0" w:after="283"/>
              <w:jc w:val="left"/>
              <w:rPr>
                <w:rFonts w:ascii="Arial;sans-serif" w:hAnsi="Arial;sans-serif"/>
                <w:b/>
                <w:color w:val="000000"/>
                <w:sz w:val="20"/>
              </w:rPr>
            </w:pPr>
            <w:r>
              <w:rPr>
                <w:rFonts w:ascii="Arial;sans-serif" w:hAnsi="Arial;sans-serif"/>
                <w:b/>
                <w:color w:val="000000"/>
                <w:sz w:val="20"/>
              </w:rPr>
              <w:t>%</w:t>
            </w:r>
          </w:p>
        </w:tc>
        <w:tc>
          <w:tcPr>
            <w:tcW w:w="541" w:type="dxa"/>
            <w:gridSpan w:val="2"/>
            <w:tcBorders/>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770" w:type="dxa"/>
            <w:tcBorders/>
            <w:tcMar>
              <w:top w:w="0" w:type="dxa"/>
              <w:left w:w="0" w:type="dxa"/>
              <w:bottom w:w="0" w:type="dxa"/>
              <w:right w:w="0" w:type="dxa"/>
            </w:tcMar>
            <w:vAlign w:val="center"/>
          </w:tcPr>
          <w:p>
            <w:pPr>
              <w:pStyle w:val="TableContents"/>
              <w:bidi w:val="0"/>
              <w:spacing w:lineRule="auto" w:line="273" w:before="0" w:after="283"/>
              <w:jc w:val="right"/>
              <w:rPr>
                <w:rFonts w:ascii="Arial;sans-serif" w:hAnsi="Arial;sans-serif"/>
                <w:b/>
                <w:color w:val="000000"/>
                <w:sz w:val="20"/>
              </w:rPr>
            </w:pPr>
            <w:r>
              <w:rPr>
                <w:rFonts w:ascii="Arial;sans-serif" w:hAnsi="Arial;sans-serif"/>
                <w:b/>
                <w:color w:val="000000"/>
                <w:sz w:val="20"/>
              </w:rPr>
              <w:t>p.p.</w:t>
            </w:r>
          </w:p>
        </w:tc>
      </w:tr>
    </w:tbl>
    <w:p>
      <w:pPr>
        <w:pStyle w:val="TextBody"/>
        <w:bidi w:val="0"/>
        <w:spacing w:before="0" w:after="0"/>
        <w:ind w:left="0" w:right="0" w:firstLine="180"/>
        <w:jc w:val="left"/>
        <w:rPr/>
      </w:pPr>
      <w:r>
        <w:rPr/>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1.Available seat miles - represents the aircraft seating capacity multiplied by the number of miles the seats are flown.</w:t>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2.Revenue passenger miles - represents the number of miles flown by revenue passengers</w:t>
      </w:r>
    </w:p>
    <w:p>
      <w:pPr>
        <w:pStyle w:val="TextBody"/>
        <w:bidi w:val="0"/>
        <w:spacing w:lineRule="auto" w:line="276" w:before="0" w:after="0"/>
        <w:ind w:left="0" w:right="0" w:hanging="180"/>
        <w:jc w:val="left"/>
        <w:rPr>
          <w:rFonts w:ascii="Arial;sans-serif" w:hAnsi="Arial;sans-serif"/>
          <w:b w:val="false"/>
          <w:color w:val="000000"/>
          <w:sz w:val="16"/>
        </w:rPr>
      </w:pPr>
      <w:r>
        <w:rPr>
          <w:rFonts w:ascii="Arial;sans-serif" w:hAnsi="Arial;sans-serif"/>
          <w:b w:val="false"/>
          <w:color w:val="000000"/>
          <w:sz w:val="16"/>
        </w:rPr>
        <w:t xml:space="preserve">3.Load factor - represents the percentage of aircraft seating capacity that is utilized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For August 2026, Copa Holdings' capacity (ASMs) increased by 16.8%, while system-wide passenger traffic (RPMs) increased by 16.8% compared to 2025. As a result, the system load factor remained flat compared to August 2025 at 88.3%.</w:t>
      </w:r>
    </w:p>
    <w:p>
      <w:pPr>
        <w:pStyle w:val="TextBody"/>
        <w:bidi w:val="0"/>
        <w:spacing w:lineRule="auto" w:line="268" w:before="240" w:after="283"/>
        <w:jc w:val="both"/>
        <w:rPr>
          <w:rFonts w:ascii="Arial;sans-serif" w:hAnsi="Arial;sans-serif"/>
          <w:b w:val="false"/>
          <w:i/>
          <w:color w:val="000000"/>
          <w:sz w:val="20"/>
        </w:rPr>
      </w:pPr>
      <w:r>
        <w:rPr>
          <w:rFonts w:ascii="Arial;sans-serif" w:hAnsi="Arial;sans-serif"/>
          <w:b w:val="false"/>
          <w:i/>
          <w:color w:val="000000"/>
          <w:sz w:val="20"/>
        </w:rPr>
        <w:t>Copa Holdings is a leading Latin American provider of passenger and cargo services. The Company, through its operating subsidiaries, provides service to countries in North, Central, and South America and the Caribbean. For more information, visit ir.copaair.com.</w:t>
      </w:r>
    </w:p>
    <w:p>
      <w:pPr>
        <w:pStyle w:val="TextBody"/>
        <w:bidi w:val="0"/>
        <w:spacing w:lineRule="auto" w:line="276" w:before="240" w:after="283"/>
        <w:jc w:val="left"/>
        <w:rPr>
          <w:rFonts w:ascii="Arial;sans-serif" w:hAnsi="Arial;sans-serif"/>
          <w:b w:val="false"/>
          <w:color w:val="000000"/>
          <w:sz w:val="20"/>
        </w:rPr>
      </w:pPr>
      <w:r>
        <w:rPr>
          <w:rFonts w:ascii="Arial;sans-serif" w:hAnsi="Arial;sans-serif"/>
          <w:b w:val="false"/>
          <w:color w:val="000000"/>
          <w:sz w:val="20"/>
        </w:rPr>
        <w:t>CPA-G</w:t>
      </w:r>
    </w:p>
    <w:p>
      <w:pPr>
        <w:pStyle w:val="TextBody"/>
        <w:bidi w:val="0"/>
        <w:spacing w:lineRule="auto" w:line="268" w:before="240" w:after="283"/>
        <w:jc w:val="both"/>
        <w:rPr>
          <w:rFonts w:ascii="Arial;sans-serif" w:hAnsi="Arial;sans-serif"/>
          <w:b/>
          <w:color w:val="000000"/>
          <w:sz w:val="20"/>
        </w:rPr>
      </w:pPr>
      <w:r>
        <w:rPr>
          <w:rFonts w:ascii="Arial;sans-serif" w:hAnsi="Arial;sans-serif"/>
          <w:b/>
          <w:color w:val="000000"/>
          <w:sz w:val="20"/>
        </w:rPr>
        <w:t xml:space="preserve">Investor Relations </w:t>
      </w:r>
    </w:p>
    <w:p>
      <w:pPr>
        <w:pStyle w:val="TextBody"/>
        <w:bidi w:val="0"/>
        <w:spacing w:lineRule="auto" w:line="268" w:before="0" w:after="0"/>
        <w:jc w:val="both"/>
        <w:rPr>
          <w:rFonts w:ascii="Arial;sans-serif" w:hAnsi="Arial;sans-serif"/>
          <w:b w:val="false"/>
          <w:color w:val="000000"/>
          <w:sz w:val="20"/>
        </w:rPr>
      </w:pPr>
      <w:r>
        <w:rPr>
          <w:rFonts w:ascii="Arial;sans-serif" w:hAnsi="Arial;sans-serif"/>
          <w:b w:val="false"/>
          <w:color w:val="000000"/>
          <w:sz w:val="20"/>
        </w:rPr>
        <w:t>investor.relations@copaair.com</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411</Words>
  <Characters>2494</Characters>
  <CharactersWithSpaces>2847</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