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8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2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August 2024</w:t>
      </w:r>
    </w:p>
    <w:p>
      <w:pPr>
        <w:spacing w:after="0" w:line="200" w:lineRule="exact"/>
        <w:rPr>
          <w:sz w:val="24"/>
          <w:szCs w:val="24"/>
          <w:color w:val="auto"/>
        </w:rPr>
      </w:pPr>
    </w:p>
    <w:p>
      <w:pPr>
        <w:spacing w:after="0" w:line="2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Copa Holdings, S.A.</w:t>
      </w:r>
    </w:p>
    <w:p>
      <w:pPr>
        <w:spacing w:after="0" w:line="5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339"/>
        <w:spacing w:after="0" w:line="234" w:lineRule="auto"/>
        <w:rPr>
          <w:sz w:val="20"/>
          <w:szCs w:val="20"/>
          <w:color w:val="auto"/>
        </w:rPr>
      </w:pPr>
      <w:r>
        <w:rPr>
          <w:rFonts w:ascii="Times New Roman" w:cs="Times New Roman" w:eastAsia="Times New Roman" w:hAnsi="Times New Roman"/>
          <w:sz w:val="18"/>
          <w:szCs w:val="18"/>
          <w:b w:val="1"/>
          <w:bCs w:val="1"/>
          <w:color w:val="auto"/>
        </w:rPr>
        <w:t>Panama City, Panama</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4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520"/>
        <w:spacing w:after="0"/>
        <w:tabs>
          <w:tab w:leader="none" w:pos="5500" w:val="left"/>
          <w:tab w:leader="none" w:pos="6240" w:val="left"/>
        </w:tabs>
        <w:rPr>
          <w:sz w:val="20"/>
          <w:szCs w:val="20"/>
          <w:color w:val="auto"/>
        </w:rPr>
      </w:pP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color w:val="FF6600"/>
        </w:rPr>
        <w:tab/>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3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17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ind w:left="4920"/>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FF6600"/>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4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17145</wp:posOffset>
            </wp:positionV>
            <wp:extent cx="20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____)</w:t>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Enclosure: 2Q24 Earnings Release</w:t>
      </w:r>
    </w:p>
    <w:p>
      <w:pPr>
        <w:sectPr>
          <w:pgSz w:w="11900" w:h="16838" w:orient="portrait"/>
          <w:cols w:equalWidth="0" w:num="1">
            <w:col w:w="10920"/>
          </w:cols>
          <w:pgMar w:left="320" w:top="1267" w:right="659"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Copa Holdings, S.A.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8/8/2024</w:t>
      </w:r>
    </w:p>
    <w:p>
      <w:pPr>
        <w:spacing w:after="0" w:line="50"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José Montero</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035" w:right="12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auto"/>
        </w:rPr>
        <w:t>Exhibit 99.1</w:t>
      </w:r>
    </w:p>
    <w:p>
      <w:pPr>
        <w:spacing w:after="0" w:line="1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Copa Holdings Reports Financial Results for the Second Quarter of 2024</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808080"/>
        </w:rPr>
        <w:t xml:space="preserve">Panama City, Panama </w:t>
      </w:r>
      <w:r>
        <w:rPr>
          <w:rFonts w:ascii="Arial" w:cs="Arial" w:eastAsia="Arial" w:hAnsi="Arial"/>
          <w:sz w:val="16"/>
          <w:szCs w:val="16"/>
          <w:color w:val="808080"/>
        </w:rPr>
        <w:t>--- August 7, 2024. Copa Holdings, S.A. (NYSE: CPA), today announced financial results for the second quarter of 2024 (2Q24). The</w:t>
      </w:r>
      <w:r>
        <w:rPr>
          <w:rFonts w:ascii="Arial" w:cs="Arial" w:eastAsia="Arial" w:hAnsi="Arial"/>
          <w:sz w:val="16"/>
          <w:szCs w:val="16"/>
          <w:b w:val="1"/>
          <w:bCs w:val="1"/>
          <w:color w:val="808080"/>
        </w:rPr>
        <w:t xml:space="preserve"> </w:t>
      </w:r>
      <w:r>
        <w:rPr>
          <w:rFonts w:ascii="Arial" w:cs="Arial" w:eastAsia="Arial" w:hAnsi="Arial"/>
          <w:sz w:val="16"/>
          <w:szCs w:val="16"/>
          <w:color w:val="808080"/>
        </w:rPr>
        <w:t>terms “Copa Holdings” and the “Company” refer to the consolidated entity. The following financial information, unless otherwise indicated, is presented in accordance with International Financial Reporting Standards (IFRS). See the accompanying reconciliation of non-IFRS financial information to IFRS financial information included in the financial tables section of this earnings release. Unless otherwise stated, all comparisons with prior periods refer to the second quarter of 2023 (2Q23).</w:t>
      </w:r>
    </w:p>
    <w:p>
      <w:pPr>
        <w:spacing w:after="0" w:line="378" w:lineRule="exact"/>
        <w:rPr>
          <w:sz w:val="20"/>
          <w:szCs w:val="20"/>
          <w:color w:val="auto"/>
        </w:rPr>
      </w:pPr>
    </w:p>
    <w:p>
      <w:pPr>
        <w:spacing w:after="0"/>
        <w:rPr>
          <w:sz w:val="20"/>
          <w:szCs w:val="20"/>
          <w:color w:val="auto"/>
        </w:rPr>
      </w:pPr>
      <w:r>
        <w:rPr>
          <w:rFonts w:ascii="Arial" w:cs="Arial" w:eastAsia="Arial" w:hAnsi="Arial"/>
          <w:sz w:val="28"/>
          <w:szCs w:val="28"/>
          <w:b w:val="1"/>
          <w:bCs w:val="1"/>
          <w:u w:val="single" w:color="auto"/>
          <w:color w:val="auto"/>
        </w:rPr>
        <w:t>OPERATING AND FINANCIAL HIGHLIGHTS</w:t>
      </w:r>
    </w:p>
    <w:p>
      <w:pPr>
        <w:spacing w:after="0" w:line="196" w:lineRule="exact"/>
        <w:rPr>
          <w:sz w:val="20"/>
          <w:szCs w:val="20"/>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Copa Holdings reported a net profit of US$120.3 million for 2Q24 or US$2.88 per share. The Company reported an operating profit of US$159.5 million and an operating margin of 19.5%.</w:t>
      </w:r>
    </w:p>
    <w:p>
      <w:pPr>
        <w:spacing w:after="0" w:line="58" w:lineRule="exact"/>
        <w:rPr>
          <w:rFonts w:ascii="Arial" w:cs="Arial" w:eastAsia="Arial" w:hAnsi="Arial"/>
          <w:sz w:val="18"/>
          <w:szCs w:val="18"/>
          <w:color w:val="auto"/>
        </w:rPr>
      </w:pPr>
    </w:p>
    <w:p>
      <w:pPr>
        <w:jc w:val="both"/>
        <w:ind w:left="260" w:hanging="252"/>
        <w:spacing w:after="0" w:line="268"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Passenger traffic for 2Q24, measured in terms of revenue passenger miles (RPMs), increased by 10.6% compared to 2Q23 while capacity, measured in available seat miles (ASMs), increased by 9.7%. As a result, the load factor for the quarter increased by 0.7 percentage points to 86.8% compared to 2Q23.</w:t>
      </w:r>
    </w:p>
    <w:p>
      <w:pPr>
        <w:spacing w:after="0" w:line="76" w:lineRule="exact"/>
        <w:rPr>
          <w:rFonts w:ascii="Arial" w:cs="Arial" w:eastAsia="Arial" w:hAnsi="Arial"/>
          <w:sz w:val="18"/>
          <w:szCs w:val="18"/>
          <w:color w:val="auto"/>
        </w:rPr>
      </w:pPr>
    </w:p>
    <w:p>
      <w:pPr>
        <w:ind w:left="260" w:right="2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cost per available seat mile excluding fuel (Ex-fuel CASM) decreased by 5.8% in the quarter to 5.6 cents when compared to 2Q23, mainly driven by lower maintenance, materials and repair costs as well as lower sales and distribution costs.</w:t>
      </w:r>
    </w:p>
    <w:p>
      <w:pPr>
        <w:spacing w:after="0" w:line="71"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per available seat mile (RASM) decreased by 7.7% to 11.0 cents compared to 2Q23, driven by an 8.7% decrease in passenger yields. Total revenues for 2Q24 increased by 1.3% to US$819.4 million.</w:t>
      </w:r>
    </w:p>
    <w:p>
      <w:pPr>
        <w:spacing w:after="0" w:line="58"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ended the quarter with approximately US$1.2 billion in cash, short-term and long-term investments, which represent 35% of the last twelve months’ revenues.</w:t>
      </w:r>
    </w:p>
    <w:p>
      <w:pPr>
        <w:spacing w:after="0" w:line="58"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closed the quarter with total debt, including lease liabilities, of US$1.8 billion, while our Adjusted Net Debt to EBITDA ratio ended at 0.6 times.</w:t>
      </w:r>
    </w:p>
    <w:p>
      <w:pPr>
        <w:spacing w:after="0" w:line="71" w:lineRule="exact"/>
        <w:rPr>
          <w:rFonts w:ascii="Arial" w:cs="Arial" w:eastAsia="Arial" w:hAnsi="Arial"/>
          <w:sz w:val="18"/>
          <w:szCs w:val="18"/>
          <w:color w:val="auto"/>
        </w:rPr>
      </w:pPr>
    </w:p>
    <w:p>
      <w:pPr>
        <w:ind w:left="260" w:right="2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quarter, the Company took delivery of three Boeing 737 MAX 9 aircraft, ending the quarter with a consolidated fleet of 109 aircraft – 67 Boeing 737-800s, 32 Boeing 737 MAX 9s, 9 Boeing 737-700s, and 1 Boeing 737-800 freighter.</w:t>
      </w:r>
    </w:p>
    <w:p>
      <w:pPr>
        <w:spacing w:after="0" w:line="58" w:lineRule="exact"/>
        <w:rPr>
          <w:rFonts w:ascii="Arial" w:cs="Arial" w:eastAsia="Arial" w:hAnsi="Arial"/>
          <w:sz w:val="18"/>
          <w:szCs w:val="18"/>
          <w:color w:val="auto"/>
        </w:rPr>
      </w:pPr>
    </w:p>
    <w:p>
      <w:pPr>
        <w:ind w:left="260" w:hanging="252"/>
        <w:spacing w:after="0" w:line="287" w:lineRule="auto"/>
        <w:tabs>
          <w:tab w:leader="none" w:pos="25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Copa Airlines had an on-time performance for the quarter of 87.6% and a flight completion factor of 99.7%, once again positioning itself among the very best in the industry.</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Subsequent Events</w:t>
      </w:r>
    </w:p>
    <w:p>
      <w:pPr>
        <w:spacing w:after="0" w:line="204" w:lineRule="exact"/>
        <w:rPr>
          <w:sz w:val="20"/>
          <w:szCs w:val="20"/>
          <w:color w:val="auto"/>
        </w:rPr>
      </w:pPr>
    </w:p>
    <w:p>
      <w:pPr>
        <w:ind w:left="260" w:right="20" w:hanging="252"/>
        <w:spacing w:after="0" w:line="287"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Copa Airlines was recognized by Skytrax – for the ninth consecutive year – as the “Best Airline in Central America and the Caribbean.”</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the Company took delivery of its first Boeing 737 MAX 8, increasing its total fleet to 110 aircraft.</w:t>
      </w:r>
    </w:p>
    <w:p>
      <w:pPr>
        <w:spacing w:after="0" w:line="144" w:lineRule="exact"/>
        <w:rPr>
          <w:rFonts w:ascii="Arial" w:cs="Arial" w:eastAsia="Arial" w:hAnsi="Arial"/>
          <w:sz w:val="18"/>
          <w:szCs w:val="18"/>
          <w:color w:val="auto"/>
        </w:rPr>
      </w:pPr>
    </w:p>
    <w:p>
      <w:pPr>
        <w:jc w:val="both"/>
        <w:ind w:left="260" w:hanging="252"/>
        <w:spacing w:after="0" w:line="268"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29, the Government of Venezuela temporarily suspended commercial flights between Venezuela and Panama effective July 31st, forcing the Company to suspend its flights between the two countries. As of the date hereof, the official notice mandates the suspension of flights until August 31st.</w:t>
      </w:r>
    </w:p>
    <w:p>
      <w:pPr>
        <w:spacing w:after="0" w:line="76" w:lineRule="exact"/>
        <w:rPr>
          <w:rFonts w:ascii="Arial" w:cs="Arial" w:eastAsia="Arial" w:hAnsi="Arial"/>
          <w:sz w:val="18"/>
          <w:szCs w:val="18"/>
          <w:color w:val="auto"/>
        </w:rPr>
      </w:pPr>
    </w:p>
    <w:p>
      <w:pPr>
        <w:ind w:left="260" w:right="160" w:hanging="252"/>
        <w:spacing w:after="0" w:line="287"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Copa Holdings will make its third dividend payment of the year of US$1.61 per share on September 13, 2024, to all Class A and Class B shareholders on record as of August 30, 2024.</w:t>
      </w:r>
    </w:p>
    <w:p>
      <w:pPr>
        <w:spacing w:after="0" w:line="200" w:lineRule="exact"/>
        <w:rPr>
          <w:sz w:val="20"/>
          <w:szCs w:val="20"/>
          <w:color w:val="auto"/>
        </w:rPr>
      </w:pPr>
    </w:p>
    <w:p>
      <w:pPr>
        <w:spacing w:after="0" w:line="255"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370" w:lineRule="exact"/>
        <w:rPr>
          <w:sz w:val="20"/>
          <w:szCs w:val="20"/>
          <w:color w:val="auto"/>
        </w:rPr>
      </w:pPr>
    </w:p>
    <w:tbl>
      <w:tblPr>
        <w:tblLayout w:type="fixed"/>
        <w:tblInd w:w="130" w:type="dxa"/>
        <w:tblCellMar>
          <w:top w:w="0" w:type="dxa"/>
          <w:left w:w="0" w:type="dxa"/>
          <w:bottom w:w="0" w:type="dxa"/>
          <w:right w:w="0" w:type="dxa"/>
        </w:tblCellMar>
      </w:tblPr>
      <w:tr>
        <w:trPr>
          <w:trHeight w:val="144"/>
        </w:trPr>
        <w:tc>
          <w:tcPr>
            <w:tcW w:w="2880" w:type="dxa"/>
            <w:vAlign w:val="bottom"/>
            <w:tcBorders>
              <w:top w:val="single" w:sz="8" w:color="auto"/>
              <w:left w:val="single" w:sz="8" w:color="auto"/>
              <w:right w:val="single" w:sz="8" w:color="auto"/>
            </w:tcBorders>
            <w:shd w:val="clear" w:color="auto" w:fill="0033A6"/>
          </w:tcPr>
          <w:p>
            <w:pPr>
              <w:ind w:left="40"/>
              <w:spacing w:after="0" w:line="144" w:lineRule="exact"/>
              <w:rPr>
                <w:sz w:val="20"/>
                <w:szCs w:val="20"/>
                <w:color w:val="auto"/>
              </w:rPr>
            </w:pPr>
            <w:r>
              <w:rPr>
                <w:rFonts w:ascii="Arial" w:cs="Arial" w:eastAsia="Arial" w:hAnsi="Arial"/>
                <w:sz w:val="13"/>
                <w:szCs w:val="13"/>
                <w:b w:val="1"/>
                <w:bCs w:val="1"/>
                <w:color w:val="FFFFFF"/>
              </w:rPr>
              <w:t>Consolidated Financial</w:t>
            </w:r>
          </w:p>
        </w:tc>
        <w:tc>
          <w:tcPr>
            <w:tcW w:w="1260" w:type="dxa"/>
            <w:vAlign w:val="bottom"/>
            <w:tcBorders>
              <w:top w:val="single" w:sz="8" w:color="auto"/>
            </w:tcBorders>
            <w:vMerge w:val="restart"/>
            <w:shd w:val="clear" w:color="auto" w:fill="0033A6"/>
          </w:tcPr>
          <w:p>
            <w:pPr>
              <w:jc w:val="right"/>
              <w:ind w:right="517"/>
              <w:spacing w:after="0"/>
              <w:rPr>
                <w:sz w:val="20"/>
                <w:szCs w:val="20"/>
                <w:color w:val="auto"/>
              </w:rPr>
            </w:pPr>
            <w:r>
              <w:rPr>
                <w:rFonts w:ascii="Arial" w:cs="Arial" w:eastAsia="Arial" w:hAnsi="Arial"/>
                <w:sz w:val="13"/>
                <w:szCs w:val="13"/>
                <w:b w:val="1"/>
                <w:bCs w:val="1"/>
                <w:color w:val="FFFFFF"/>
              </w:rPr>
              <w:t>2Q24</w:t>
            </w:r>
          </w:p>
        </w:tc>
        <w:tc>
          <w:tcPr>
            <w:tcW w:w="900" w:type="dxa"/>
            <w:vAlign w:val="bottom"/>
            <w:tcBorders>
              <w:top w:val="single" w:sz="8" w:color="auto"/>
            </w:tcBorders>
            <w:vMerge w:val="restart"/>
            <w:shd w:val="clear" w:color="auto" w:fill="0033A6"/>
          </w:tcPr>
          <w:p>
            <w:pPr>
              <w:jc w:val="right"/>
              <w:ind w:right="337"/>
              <w:spacing w:after="0"/>
              <w:rPr>
                <w:sz w:val="20"/>
                <w:szCs w:val="20"/>
                <w:color w:val="auto"/>
              </w:rPr>
            </w:pPr>
            <w:r>
              <w:rPr>
                <w:rFonts w:ascii="Arial" w:cs="Arial" w:eastAsia="Arial" w:hAnsi="Arial"/>
                <w:sz w:val="13"/>
                <w:szCs w:val="13"/>
                <w:b w:val="1"/>
                <w:bCs w:val="1"/>
                <w:color w:val="FFFFFF"/>
              </w:rPr>
              <w:t>2Q23</w:t>
            </w:r>
          </w:p>
        </w:tc>
        <w:tc>
          <w:tcPr>
            <w:tcW w:w="920" w:type="dxa"/>
            <w:vAlign w:val="bottom"/>
            <w:tcBorders>
              <w:top w:val="single" w:sz="8" w:color="auto"/>
              <w:right w:val="single" w:sz="8" w:color="auto"/>
            </w:tcBorders>
            <w:gridSpan w:val="2"/>
            <w:shd w:val="clear" w:color="auto" w:fill="0033A6"/>
          </w:tcPr>
          <w:p>
            <w:pPr>
              <w:jc w:val="right"/>
              <w:ind w:right="57"/>
              <w:spacing w:after="0" w:line="144" w:lineRule="exact"/>
              <w:rPr>
                <w:sz w:val="20"/>
                <w:szCs w:val="20"/>
                <w:color w:val="auto"/>
              </w:rPr>
            </w:pPr>
            <w:r>
              <w:rPr>
                <w:rFonts w:ascii="Arial" w:cs="Arial" w:eastAsia="Arial" w:hAnsi="Arial"/>
                <w:sz w:val="13"/>
                <w:szCs w:val="13"/>
                <w:b w:val="1"/>
                <w:bCs w:val="1"/>
                <w:color w:val="FFFFFF"/>
              </w:rPr>
              <w:t>Variance Vs</w:t>
            </w:r>
          </w:p>
        </w:tc>
        <w:tc>
          <w:tcPr>
            <w:tcW w:w="1080" w:type="dxa"/>
            <w:vAlign w:val="bottom"/>
            <w:tcBorders>
              <w:top w:val="single" w:sz="8" w:color="auto"/>
            </w:tcBorders>
            <w:vMerge w:val="restart"/>
            <w:shd w:val="clear" w:color="auto" w:fill="0033A6"/>
          </w:tcPr>
          <w:p>
            <w:pPr>
              <w:jc w:val="right"/>
              <w:ind w:right="317"/>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top w:val="single" w:sz="8" w:color="auto"/>
              <w:right w:val="single" w:sz="8" w:color="auto"/>
            </w:tcBorders>
            <w:gridSpan w:val="2"/>
            <w:shd w:val="clear" w:color="auto" w:fill="0033A6"/>
          </w:tcPr>
          <w:p>
            <w:pPr>
              <w:jc w:val="right"/>
              <w:ind w:right="82"/>
              <w:spacing w:after="0" w:line="144" w:lineRule="exact"/>
              <w:rPr>
                <w:sz w:val="20"/>
                <w:szCs w:val="20"/>
                <w:color w:val="auto"/>
              </w:rPr>
            </w:pPr>
            <w:r>
              <w:rPr>
                <w:rFonts w:ascii="Arial" w:cs="Arial" w:eastAsia="Arial" w:hAnsi="Arial"/>
                <w:sz w:val="13"/>
                <w:szCs w:val="13"/>
                <w:b w:val="1"/>
                <w:bCs w:val="1"/>
                <w:color w:val="FFFFFF"/>
              </w:rPr>
              <w:t>Variance Vs</w:t>
            </w:r>
          </w:p>
        </w:tc>
        <w:tc>
          <w:tcPr>
            <w:tcW w:w="1260" w:type="dxa"/>
            <w:vAlign w:val="bottom"/>
            <w:tcBorders>
              <w:top w:val="single" w:sz="8" w:color="auto"/>
            </w:tcBorders>
            <w:vMerge w:val="restart"/>
            <w:shd w:val="clear" w:color="auto" w:fill="0033A6"/>
          </w:tcPr>
          <w:p>
            <w:pPr>
              <w:jc w:val="right"/>
              <w:ind w:right="457"/>
              <w:spacing w:after="0"/>
              <w:rPr>
                <w:sz w:val="20"/>
                <w:szCs w:val="20"/>
                <w:color w:val="auto"/>
              </w:rPr>
            </w:pPr>
            <w:r>
              <w:rPr>
                <w:rFonts w:ascii="Arial" w:cs="Arial" w:eastAsia="Arial" w:hAnsi="Arial"/>
                <w:sz w:val="13"/>
                <w:szCs w:val="13"/>
                <w:b w:val="1"/>
                <w:bCs w:val="1"/>
                <w:color w:val="FFFFFF"/>
              </w:rPr>
              <w:t>YTD24</w:t>
            </w:r>
          </w:p>
        </w:tc>
        <w:tc>
          <w:tcPr>
            <w:tcW w:w="940" w:type="dxa"/>
            <w:vAlign w:val="bottom"/>
            <w:tcBorders>
              <w:top w:val="single" w:sz="8" w:color="auto"/>
            </w:tcBorders>
            <w:vMerge w:val="restart"/>
            <w:shd w:val="clear" w:color="auto" w:fill="0033A6"/>
          </w:tcPr>
          <w:p>
            <w:pPr>
              <w:jc w:val="right"/>
              <w:ind w:right="297"/>
              <w:spacing w:after="0"/>
              <w:rPr>
                <w:sz w:val="20"/>
                <w:szCs w:val="20"/>
                <w:color w:val="auto"/>
              </w:rPr>
            </w:pPr>
            <w:r>
              <w:rPr>
                <w:rFonts w:ascii="Arial" w:cs="Arial" w:eastAsia="Arial" w:hAnsi="Arial"/>
                <w:sz w:val="13"/>
                <w:szCs w:val="13"/>
                <w:b w:val="1"/>
                <w:bCs w:val="1"/>
                <w:color w:val="FFFFFF"/>
              </w:rPr>
              <w:t>YTD23</w:t>
            </w:r>
          </w:p>
        </w:tc>
        <w:tc>
          <w:tcPr>
            <w:tcW w:w="1000" w:type="dxa"/>
            <w:vAlign w:val="bottom"/>
            <w:tcBorders>
              <w:top w:val="single" w:sz="8" w:color="auto"/>
              <w:right w:val="single" w:sz="8" w:color="auto"/>
            </w:tcBorders>
            <w:gridSpan w:val="2"/>
            <w:shd w:val="clear" w:color="auto" w:fill="0033A6"/>
          </w:tcPr>
          <w:p>
            <w:pPr>
              <w:jc w:val="right"/>
              <w:ind w:right="102"/>
              <w:spacing w:after="0" w:line="144" w:lineRule="exact"/>
              <w:rPr>
                <w:sz w:val="20"/>
                <w:szCs w:val="20"/>
                <w:color w:val="auto"/>
              </w:rPr>
            </w:pPr>
            <w:r>
              <w:rPr>
                <w:rFonts w:ascii="Arial" w:cs="Arial" w:eastAsia="Arial" w:hAnsi="Arial"/>
                <w:sz w:val="13"/>
                <w:szCs w:val="13"/>
                <w:b w:val="1"/>
                <w:bCs w:val="1"/>
                <w:color w:val="FFFFFF"/>
              </w:rPr>
              <w:t>Variance Vs</w:t>
            </w:r>
          </w:p>
        </w:tc>
        <w:tc>
          <w:tcPr>
            <w:tcW w:w="0" w:type="dxa"/>
            <w:vAlign w:val="bottom"/>
          </w:tcPr>
          <w:p>
            <w:pPr>
              <w:spacing w:after="0"/>
              <w:rPr>
                <w:sz w:val="1"/>
                <w:szCs w:val="1"/>
                <w:color w:val="auto"/>
              </w:rPr>
            </w:pPr>
          </w:p>
        </w:tc>
      </w:tr>
      <w:tr>
        <w:trPr>
          <w:trHeight w:val="104"/>
        </w:trPr>
        <w:tc>
          <w:tcPr>
            <w:tcW w:w="2880" w:type="dxa"/>
            <w:vAlign w:val="bottom"/>
            <w:tcBorders>
              <w:left w:val="single" w:sz="8" w:color="auto"/>
              <w:right w:val="single" w:sz="8" w:color="auto"/>
            </w:tcBorders>
            <w:vMerge w:val="restart"/>
            <w:shd w:val="clear" w:color="auto" w:fill="0033A6"/>
          </w:tcPr>
          <w:p>
            <w:pPr>
              <w:ind w:left="40"/>
              <w:spacing w:after="0"/>
              <w:rPr>
                <w:sz w:val="20"/>
                <w:szCs w:val="20"/>
                <w:color w:val="auto"/>
              </w:rPr>
            </w:pPr>
            <w:r>
              <w:rPr>
                <w:rFonts w:ascii="Arial" w:cs="Arial" w:eastAsia="Arial" w:hAnsi="Arial"/>
                <w:sz w:val="13"/>
                <w:szCs w:val="13"/>
                <w:b w:val="1"/>
                <w:bCs w:val="1"/>
                <w:color w:val="FFFFFF"/>
              </w:rPr>
              <w:t>&amp; Operating Highlights</w:t>
            </w:r>
          </w:p>
        </w:tc>
        <w:tc>
          <w:tcPr>
            <w:tcW w:w="1260" w:type="dxa"/>
            <w:vAlign w:val="bottom"/>
            <w:vMerge w:val="continue"/>
            <w:shd w:val="clear" w:color="auto" w:fill="0033A6"/>
          </w:tcPr>
          <w:p>
            <w:pPr>
              <w:spacing w:after="0"/>
              <w:rPr>
                <w:sz w:val="9"/>
                <w:szCs w:val="9"/>
                <w:color w:val="auto"/>
              </w:rPr>
            </w:pPr>
          </w:p>
        </w:tc>
        <w:tc>
          <w:tcPr>
            <w:tcW w:w="900" w:type="dxa"/>
            <w:vAlign w:val="bottom"/>
            <w:vMerge w:val="continue"/>
            <w:shd w:val="clear" w:color="auto" w:fill="0033A6"/>
          </w:tcPr>
          <w:p>
            <w:pPr>
              <w:spacing w:after="0"/>
              <w:rPr>
                <w:sz w:val="9"/>
                <w:szCs w:val="9"/>
                <w:color w:val="auto"/>
              </w:rPr>
            </w:pPr>
          </w:p>
        </w:tc>
        <w:tc>
          <w:tcPr>
            <w:tcW w:w="920" w:type="dxa"/>
            <w:vAlign w:val="bottom"/>
            <w:tcBorders>
              <w:right w:val="single" w:sz="8" w:color="auto"/>
            </w:tcBorders>
            <w:gridSpan w:val="2"/>
            <w:vMerge w:val="restart"/>
            <w:shd w:val="clear" w:color="auto" w:fill="0033A6"/>
          </w:tcPr>
          <w:p>
            <w:pPr>
              <w:jc w:val="right"/>
              <w:ind w:right="257"/>
              <w:spacing w:after="0"/>
              <w:rPr>
                <w:sz w:val="20"/>
                <w:szCs w:val="20"/>
                <w:color w:val="auto"/>
              </w:rPr>
            </w:pPr>
            <w:r>
              <w:rPr>
                <w:rFonts w:ascii="Arial" w:cs="Arial" w:eastAsia="Arial" w:hAnsi="Arial"/>
                <w:sz w:val="13"/>
                <w:szCs w:val="13"/>
                <w:b w:val="1"/>
                <w:bCs w:val="1"/>
                <w:color w:val="FFFFFF"/>
              </w:rPr>
              <w:t>2Q23</w:t>
            </w:r>
          </w:p>
        </w:tc>
        <w:tc>
          <w:tcPr>
            <w:tcW w:w="1080" w:type="dxa"/>
            <w:vAlign w:val="bottom"/>
            <w:vMerge w:val="continue"/>
            <w:shd w:val="clear" w:color="auto" w:fill="0033A6"/>
          </w:tcPr>
          <w:p>
            <w:pPr>
              <w:spacing w:after="0"/>
              <w:rPr>
                <w:sz w:val="9"/>
                <w:szCs w:val="9"/>
                <w:color w:val="auto"/>
              </w:rPr>
            </w:pPr>
          </w:p>
        </w:tc>
        <w:tc>
          <w:tcPr>
            <w:tcW w:w="980" w:type="dxa"/>
            <w:vAlign w:val="bottom"/>
            <w:tcBorders>
              <w:right w:val="single" w:sz="8" w:color="auto"/>
            </w:tcBorders>
            <w:gridSpan w:val="2"/>
            <w:vMerge w:val="restart"/>
            <w:shd w:val="clear" w:color="auto" w:fill="0033A6"/>
          </w:tcPr>
          <w:p>
            <w:pPr>
              <w:jc w:val="right"/>
              <w:ind w:right="282"/>
              <w:spacing w:after="0"/>
              <w:rPr>
                <w:sz w:val="20"/>
                <w:szCs w:val="20"/>
                <w:color w:val="auto"/>
              </w:rPr>
            </w:pPr>
            <w:r>
              <w:rPr>
                <w:rFonts w:ascii="Arial" w:cs="Arial" w:eastAsia="Arial" w:hAnsi="Arial"/>
                <w:sz w:val="13"/>
                <w:szCs w:val="13"/>
                <w:b w:val="1"/>
                <w:bCs w:val="1"/>
                <w:color w:val="FFFFFF"/>
              </w:rPr>
              <w:t>1Q24</w:t>
            </w:r>
          </w:p>
        </w:tc>
        <w:tc>
          <w:tcPr>
            <w:tcW w:w="1260" w:type="dxa"/>
            <w:vAlign w:val="bottom"/>
            <w:vMerge w:val="continue"/>
            <w:shd w:val="clear" w:color="auto" w:fill="0033A6"/>
          </w:tcPr>
          <w:p>
            <w:pPr>
              <w:spacing w:after="0"/>
              <w:rPr>
                <w:sz w:val="9"/>
                <w:szCs w:val="9"/>
                <w:color w:val="auto"/>
              </w:rPr>
            </w:pPr>
          </w:p>
        </w:tc>
        <w:tc>
          <w:tcPr>
            <w:tcW w:w="940" w:type="dxa"/>
            <w:vAlign w:val="bottom"/>
            <w:vMerge w:val="continue"/>
            <w:shd w:val="clear" w:color="auto" w:fill="0033A6"/>
          </w:tcPr>
          <w:p>
            <w:pPr>
              <w:spacing w:after="0"/>
              <w:rPr>
                <w:sz w:val="9"/>
                <w:szCs w:val="9"/>
                <w:color w:val="auto"/>
              </w:rPr>
            </w:pPr>
          </w:p>
        </w:tc>
        <w:tc>
          <w:tcPr>
            <w:tcW w:w="1000" w:type="dxa"/>
            <w:vAlign w:val="bottom"/>
            <w:tcBorders>
              <w:right w:val="single" w:sz="8" w:color="auto"/>
            </w:tcBorders>
            <w:gridSpan w:val="2"/>
            <w:vMerge w:val="restart"/>
            <w:shd w:val="clear" w:color="auto" w:fill="0033A6"/>
          </w:tcPr>
          <w:p>
            <w:pPr>
              <w:jc w:val="right"/>
              <w:ind w:right="262"/>
              <w:spacing w:after="0"/>
              <w:rPr>
                <w:sz w:val="20"/>
                <w:szCs w:val="20"/>
                <w:color w:val="auto"/>
              </w:rPr>
            </w:pPr>
            <w:r>
              <w:rPr>
                <w:rFonts w:ascii="Arial" w:cs="Arial" w:eastAsia="Arial" w:hAnsi="Arial"/>
                <w:sz w:val="13"/>
                <w:szCs w:val="13"/>
                <w:b w:val="1"/>
                <w:bCs w:val="1"/>
                <w:color w:val="FFFFFF"/>
              </w:rPr>
              <w:t>YTD23</w:t>
            </w:r>
          </w:p>
        </w:tc>
        <w:tc>
          <w:tcPr>
            <w:tcW w:w="0" w:type="dxa"/>
            <w:vAlign w:val="bottom"/>
          </w:tcPr>
          <w:p>
            <w:pPr>
              <w:spacing w:after="0"/>
              <w:rPr>
                <w:sz w:val="1"/>
                <w:szCs w:val="1"/>
                <w:color w:val="auto"/>
              </w:rPr>
            </w:pPr>
          </w:p>
        </w:tc>
      </w:tr>
      <w:tr>
        <w:trPr>
          <w:trHeight w:val="72"/>
        </w:trPr>
        <w:tc>
          <w:tcPr>
            <w:tcW w:w="2880" w:type="dxa"/>
            <w:vAlign w:val="bottom"/>
            <w:tcBorders>
              <w:left w:val="single" w:sz="8" w:color="auto"/>
              <w:bottom w:val="single" w:sz="8" w:color="auto"/>
              <w:right w:val="single" w:sz="8" w:color="auto"/>
            </w:tcBorders>
            <w:vMerge w:val="continue"/>
            <w:shd w:val="clear" w:color="auto" w:fill="0033A6"/>
          </w:tcPr>
          <w:p>
            <w:pPr>
              <w:spacing w:after="0"/>
              <w:rPr>
                <w:sz w:val="6"/>
                <w:szCs w:val="6"/>
                <w:color w:val="auto"/>
              </w:rPr>
            </w:pPr>
          </w:p>
        </w:tc>
        <w:tc>
          <w:tcPr>
            <w:tcW w:w="1260" w:type="dxa"/>
            <w:vAlign w:val="bottom"/>
            <w:tcBorders>
              <w:bottom w:val="single" w:sz="8" w:color="auto"/>
            </w:tcBorders>
            <w:shd w:val="clear" w:color="auto" w:fill="0033A6"/>
          </w:tcPr>
          <w:p>
            <w:pPr>
              <w:spacing w:after="0"/>
              <w:rPr>
                <w:sz w:val="6"/>
                <w:szCs w:val="6"/>
                <w:color w:val="auto"/>
              </w:rPr>
            </w:pPr>
          </w:p>
        </w:tc>
        <w:tc>
          <w:tcPr>
            <w:tcW w:w="900" w:type="dxa"/>
            <w:vAlign w:val="bottom"/>
            <w:tcBorders>
              <w:bottom w:val="single" w:sz="8" w:color="auto"/>
            </w:tcBorders>
            <w:shd w:val="clear" w:color="auto" w:fill="0033A6"/>
          </w:tcPr>
          <w:p>
            <w:pPr>
              <w:spacing w:after="0"/>
              <w:rPr>
                <w:sz w:val="6"/>
                <w:szCs w:val="6"/>
                <w:color w:val="auto"/>
              </w:rPr>
            </w:pPr>
          </w:p>
        </w:tc>
        <w:tc>
          <w:tcPr>
            <w:tcW w:w="920" w:type="dxa"/>
            <w:vAlign w:val="bottom"/>
            <w:tcBorders>
              <w:bottom w:val="single" w:sz="8" w:color="auto"/>
              <w:right w:val="single" w:sz="8" w:color="auto"/>
            </w:tcBorders>
            <w:gridSpan w:val="2"/>
            <w:vMerge w:val="continue"/>
            <w:shd w:val="clear" w:color="auto" w:fill="0033A6"/>
          </w:tcPr>
          <w:p>
            <w:pPr>
              <w:spacing w:after="0"/>
              <w:rPr>
                <w:sz w:val="6"/>
                <w:szCs w:val="6"/>
                <w:color w:val="auto"/>
              </w:rPr>
            </w:pPr>
          </w:p>
        </w:tc>
        <w:tc>
          <w:tcPr>
            <w:tcW w:w="1080" w:type="dxa"/>
            <w:vAlign w:val="bottom"/>
            <w:tcBorders>
              <w:bottom w:val="single" w:sz="8" w:color="auto"/>
            </w:tcBorders>
            <w:shd w:val="clear" w:color="auto" w:fill="0033A6"/>
          </w:tcPr>
          <w:p>
            <w:pPr>
              <w:spacing w:after="0"/>
              <w:rPr>
                <w:sz w:val="6"/>
                <w:szCs w:val="6"/>
                <w:color w:val="auto"/>
              </w:rPr>
            </w:pPr>
          </w:p>
        </w:tc>
        <w:tc>
          <w:tcPr>
            <w:tcW w:w="980" w:type="dxa"/>
            <w:vAlign w:val="bottom"/>
            <w:tcBorders>
              <w:bottom w:val="single" w:sz="8" w:color="auto"/>
              <w:right w:val="single" w:sz="8" w:color="auto"/>
            </w:tcBorders>
            <w:gridSpan w:val="2"/>
            <w:vMerge w:val="continue"/>
            <w:shd w:val="clear" w:color="auto" w:fill="0033A6"/>
          </w:tcPr>
          <w:p>
            <w:pPr>
              <w:spacing w:after="0"/>
              <w:rPr>
                <w:sz w:val="6"/>
                <w:szCs w:val="6"/>
                <w:color w:val="auto"/>
              </w:rPr>
            </w:pPr>
          </w:p>
        </w:tc>
        <w:tc>
          <w:tcPr>
            <w:tcW w:w="1260" w:type="dxa"/>
            <w:vAlign w:val="bottom"/>
            <w:tcBorders>
              <w:bottom w:val="single" w:sz="8" w:color="auto"/>
            </w:tcBorders>
            <w:shd w:val="clear" w:color="auto" w:fill="0033A6"/>
          </w:tcPr>
          <w:p>
            <w:pPr>
              <w:spacing w:after="0"/>
              <w:rPr>
                <w:sz w:val="6"/>
                <w:szCs w:val="6"/>
                <w:color w:val="auto"/>
              </w:rPr>
            </w:pPr>
          </w:p>
        </w:tc>
        <w:tc>
          <w:tcPr>
            <w:tcW w:w="940" w:type="dxa"/>
            <w:vAlign w:val="bottom"/>
            <w:tcBorders>
              <w:bottom w:val="single" w:sz="8" w:color="auto"/>
            </w:tcBorders>
            <w:shd w:val="clear" w:color="auto" w:fill="0033A6"/>
          </w:tcPr>
          <w:p>
            <w:pPr>
              <w:spacing w:after="0"/>
              <w:rPr>
                <w:sz w:val="6"/>
                <w:szCs w:val="6"/>
                <w:color w:val="auto"/>
              </w:rPr>
            </w:pPr>
          </w:p>
        </w:tc>
        <w:tc>
          <w:tcPr>
            <w:tcW w:w="1000" w:type="dxa"/>
            <w:vAlign w:val="bottom"/>
            <w:tcBorders>
              <w:bottom w:val="single" w:sz="8" w:color="auto"/>
              <w:right w:val="single" w:sz="8" w:color="auto"/>
            </w:tcBorders>
            <w:gridSpan w:val="2"/>
            <w:vMerge w:val="continue"/>
            <w:shd w:val="clear" w:color="auto" w:fill="0033A6"/>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Revenue Passengers Carried (000s)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3,303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2,980</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w:t>
            </w:r>
          </w:p>
        </w:tc>
        <w:tc>
          <w:tcPr>
            <w:tcW w:w="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3,272</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0.9</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6,575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5,860</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1"/>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Revenue Passengers OnBoard (000s)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4,970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4,469</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w:t>
            </w:r>
          </w:p>
        </w:tc>
        <w:tc>
          <w:tcPr>
            <w:tcW w:w="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4,790</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9,760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8,764</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5"/>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RPMs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6,446</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5,826</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w:t>
            </w:r>
          </w:p>
        </w:tc>
        <w:tc>
          <w:tcPr>
            <w:tcW w:w="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6,127</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12,573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11,550</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ASMs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7,424</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6,767</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7,121</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14,545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13,363</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Load Factor</w:t>
            </w:r>
          </w:p>
        </w:tc>
        <w:tc>
          <w:tcPr>
            <w:tcW w:w="1260" w:type="dxa"/>
            <w:vAlign w:val="bottom"/>
          </w:tcPr>
          <w:p>
            <w:pPr>
              <w:jc w:val="right"/>
              <w:ind w:right="157"/>
              <w:spacing w:after="0"/>
              <w:rPr>
                <w:sz w:val="20"/>
                <w:szCs w:val="20"/>
                <w:color w:val="auto"/>
              </w:rPr>
            </w:pPr>
            <w:r>
              <w:rPr>
                <w:rFonts w:ascii="Arial" w:cs="Arial" w:eastAsia="Arial" w:hAnsi="Arial"/>
                <w:sz w:val="13"/>
                <w:szCs w:val="13"/>
                <w:color w:val="auto"/>
              </w:rPr>
              <w:t>86.8 %</w:t>
            </w:r>
          </w:p>
        </w:tc>
        <w:tc>
          <w:tcPr>
            <w:tcW w:w="900" w:type="dxa"/>
            <w:vAlign w:val="bottom"/>
          </w:tcPr>
          <w:p>
            <w:pPr>
              <w:jc w:val="right"/>
              <w:spacing w:after="0"/>
              <w:rPr>
                <w:sz w:val="20"/>
                <w:szCs w:val="20"/>
                <w:color w:val="auto"/>
              </w:rPr>
            </w:pPr>
            <w:r>
              <w:rPr>
                <w:rFonts w:ascii="Arial" w:cs="Arial" w:eastAsia="Arial" w:hAnsi="Arial"/>
                <w:sz w:val="13"/>
                <w:szCs w:val="13"/>
                <w:color w:val="auto"/>
              </w:rPr>
              <w:t>86.1 %</w:t>
            </w:r>
          </w:p>
        </w:tc>
        <w:tc>
          <w:tcPr>
            <w:tcW w:w="92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0.7 p.p</w:t>
            </w:r>
          </w:p>
        </w:tc>
        <w:tc>
          <w:tcPr>
            <w:tcW w:w="1080" w:type="dxa"/>
            <w:vAlign w:val="bottom"/>
          </w:tcPr>
          <w:p>
            <w:pPr>
              <w:jc w:val="right"/>
              <w:spacing w:after="0"/>
              <w:rPr>
                <w:sz w:val="20"/>
                <w:szCs w:val="20"/>
                <w:color w:val="auto"/>
              </w:rPr>
            </w:pPr>
            <w:r>
              <w:rPr>
                <w:rFonts w:ascii="Arial" w:cs="Arial" w:eastAsia="Arial" w:hAnsi="Arial"/>
                <w:sz w:val="13"/>
                <w:szCs w:val="13"/>
                <w:color w:val="auto"/>
              </w:rPr>
              <w:t>86.0 %</w:t>
            </w:r>
          </w:p>
        </w:tc>
        <w:tc>
          <w:tcPr>
            <w:tcW w:w="98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0.8 p.p</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86.4 %</w:t>
            </w:r>
          </w:p>
        </w:tc>
        <w:tc>
          <w:tcPr>
            <w:tcW w:w="940" w:type="dxa"/>
            <w:vAlign w:val="bottom"/>
          </w:tcPr>
          <w:p>
            <w:pPr>
              <w:jc w:val="right"/>
              <w:spacing w:after="0"/>
              <w:rPr>
                <w:sz w:val="20"/>
                <w:szCs w:val="20"/>
                <w:color w:val="auto"/>
              </w:rPr>
            </w:pPr>
            <w:r>
              <w:rPr>
                <w:rFonts w:ascii="Arial" w:cs="Arial" w:eastAsia="Arial" w:hAnsi="Arial"/>
                <w:sz w:val="13"/>
                <w:szCs w:val="13"/>
                <w:color w:val="auto"/>
              </w:rPr>
              <w:t>86.4 %</w:t>
            </w:r>
          </w:p>
        </w:tc>
        <w:tc>
          <w:tcPr>
            <w:tcW w:w="100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0.0 p.p</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Yield (US$ Cents)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12.1</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13.3</w:t>
            </w:r>
          </w:p>
        </w:tc>
        <w:tc>
          <w:tcPr>
            <w:tcW w:w="92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(8.7)%</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14.0</w:t>
            </w:r>
          </w:p>
        </w:tc>
        <w:tc>
          <w:tcPr>
            <w:tcW w:w="98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(13.5)%</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13.0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13.9</w:t>
            </w:r>
          </w:p>
        </w:tc>
        <w:tc>
          <w:tcPr>
            <w:tcW w:w="100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9"/>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PRASM (US$ Cents)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10.5</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11.4</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(7.9)%</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12.1</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(12.7)%</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11.3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12.0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5"/>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RASM (US$ Cents)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11.0</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12.0</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(7.7)%</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12.5</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(12.0)%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11.8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12.5</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CASM (US$ Cents)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8.9</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9.1</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(2.1)%</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9.5</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(6.6)%</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9.2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9.6</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CASM Excl. Fuel (US$ Cents)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5.6</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5.9</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(5.8)%</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6.1</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(8.1)%</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5.8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6.1</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5"/>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Fuel Gallons Consumed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87.6</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79.9</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9.6 %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84.4</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3.7 %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172.0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158.1</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Avg. Price Per Fuel Gallon (US$)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2.79</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2.65</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5.2 %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2.90</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(3.7)%</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2.84</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3.00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Average Length of Haul (miles)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1,952</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1,955</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(0.2)%</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1,873</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4.2 %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1,912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1,971</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Average Stage Length (miles)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1,253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1,260</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(0.5)%</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1,246</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0.6 %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1,249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1,270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Departures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36,313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33,385</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8.8 %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35,220</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3.1 %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71,533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65,369</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Block Hours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116,062</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107,055</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8.4 %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112,164</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3.5 %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228,226</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211,681</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202"/>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Average Aircraft Utilization (hours)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11.9</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11.8</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0.3 %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11.6</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2.0 %</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11.7</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11.9</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Operating Revenues (US$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819.4</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809.2</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1.3 %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893.5</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(8.3)%</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1,712.9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1,676.5</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Operating Profit (Loss) (US$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159.5</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194.7</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(18.1)%</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216.0</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(26.1)%</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375.5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387.9</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Operating Margin</w:t>
            </w:r>
          </w:p>
        </w:tc>
        <w:tc>
          <w:tcPr>
            <w:tcW w:w="1260" w:type="dxa"/>
            <w:vAlign w:val="bottom"/>
          </w:tcPr>
          <w:p>
            <w:pPr>
              <w:jc w:val="right"/>
              <w:ind w:right="157"/>
              <w:spacing w:after="0"/>
              <w:rPr>
                <w:sz w:val="20"/>
                <w:szCs w:val="20"/>
                <w:color w:val="auto"/>
              </w:rPr>
            </w:pPr>
            <w:r>
              <w:rPr>
                <w:rFonts w:ascii="Arial" w:cs="Arial" w:eastAsia="Arial" w:hAnsi="Arial"/>
                <w:sz w:val="13"/>
                <w:szCs w:val="13"/>
                <w:color w:val="auto"/>
              </w:rPr>
              <w:t>19.5 %</w:t>
            </w:r>
          </w:p>
        </w:tc>
        <w:tc>
          <w:tcPr>
            <w:tcW w:w="900" w:type="dxa"/>
            <w:vAlign w:val="bottom"/>
          </w:tcPr>
          <w:p>
            <w:pPr>
              <w:jc w:val="right"/>
              <w:spacing w:after="0"/>
              <w:rPr>
                <w:sz w:val="20"/>
                <w:szCs w:val="20"/>
                <w:color w:val="auto"/>
              </w:rPr>
            </w:pPr>
            <w:r>
              <w:rPr>
                <w:rFonts w:ascii="Arial" w:cs="Arial" w:eastAsia="Arial" w:hAnsi="Arial"/>
                <w:sz w:val="13"/>
                <w:szCs w:val="13"/>
                <w:color w:val="auto"/>
              </w:rPr>
              <w:t>24.1 %</w:t>
            </w:r>
          </w:p>
        </w:tc>
        <w:tc>
          <w:tcPr>
            <w:tcW w:w="92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-4.6 p.p</w:t>
            </w:r>
          </w:p>
        </w:tc>
        <w:tc>
          <w:tcPr>
            <w:tcW w:w="1080" w:type="dxa"/>
            <w:vAlign w:val="bottom"/>
          </w:tcPr>
          <w:p>
            <w:pPr>
              <w:jc w:val="right"/>
              <w:spacing w:after="0"/>
              <w:rPr>
                <w:sz w:val="20"/>
                <w:szCs w:val="20"/>
                <w:color w:val="auto"/>
              </w:rPr>
            </w:pPr>
            <w:r>
              <w:rPr>
                <w:rFonts w:ascii="Arial" w:cs="Arial" w:eastAsia="Arial" w:hAnsi="Arial"/>
                <w:sz w:val="13"/>
                <w:szCs w:val="13"/>
                <w:color w:val="auto"/>
              </w:rPr>
              <w:t>24.2 %</w:t>
            </w:r>
          </w:p>
        </w:tc>
        <w:tc>
          <w:tcPr>
            <w:tcW w:w="98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-4.7 p.p</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21.9 %</w:t>
            </w:r>
          </w:p>
        </w:tc>
        <w:tc>
          <w:tcPr>
            <w:tcW w:w="940" w:type="dxa"/>
            <w:vAlign w:val="bottom"/>
          </w:tcPr>
          <w:p>
            <w:pPr>
              <w:jc w:val="right"/>
              <w:spacing w:after="0"/>
              <w:rPr>
                <w:sz w:val="20"/>
                <w:szCs w:val="20"/>
                <w:color w:val="auto"/>
              </w:rPr>
            </w:pPr>
            <w:r>
              <w:rPr>
                <w:rFonts w:ascii="Arial" w:cs="Arial" w:eastAsia="Arial" w:hAnsi="Arial"/>
                <w:sz w:val="13"/>
                <w:szCs w:val="13"/>
                <w:color w:val="auto"/>
              </w:rPr>
              <w:t>23.1 %</w:t>
            </w:r>
          </w:p>
        </w:tc>
        <w:tc>
          <w:tcPr>
            <w:tcW w:w="100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-1.2 p.p</w:t>
            </w:r>
          </w:p>
        </w:tc>
        <w:tc>
          <w:tcPr>
            <w:tcW w:w="0" w:type="dxa"/>
            <w:vAlign w:val="bottom"/>
          </w:tcPr>
          <w:p>
            <w:pPr>
              <w:spacing w:after="0"/>
              <w:rPr>
                <w:sz w:val="1"/>
                <w:szCs w:val="1"/>
                <w:color w:val="auto"/>
              </w:rPr>
            </w:pPr>
          </w:p>
        </w:tc>
      </w:tr>
      <w:tr>
        <w:trPr>
          <w:trHeight w:val="212"/>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 Profit (Loss) (US$ millions)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120.3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17.5</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586.8</w:t>
            </w:r>
          </w:p>
        </w:tc>
        <w:tc>
          <w:tcPr>
            <w:tcW w:w="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6"/>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176.1</w:t>
            </w:r>
          </w:p>
        </w:tc>
        <w:tc>
          <w:tcPr>
            <w:tcW w:w="98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(31.7)%</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296.3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139.0</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113.1</w:t>
            </w:r>
          </w:p>
        </w:tc>
        <w:tc>
          <w:tcPr>
            <w:tcW w:w="1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6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Adjusted Net Profit (Loss) (US$ millions) (1)</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120.3</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154.5</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(22.2)%</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176.1</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(31.7)%</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296.3</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312.3</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1"/>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Basic EPS (US$)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2.88</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0.44</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549.4 %</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4.19</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(31.1)%</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7.07</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3.52</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101.0 %</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Adjusted Basic EPS (US$) (1)</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2.88</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3.92</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(26.4)%</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4.19</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(31.1)%</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7.07</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7.90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10"/>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Shares for calculation of Basic EPS (000s)</w:t>
            </w:r>
          </w:p>
        </w:tc>
        <w:tc>
          <w:tcPr>
            <w:tcW w:w="12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41,715</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39,444</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5.8 %</w:t>
            </w: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42,052</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(0.8)%</w:t>
            </w:r>
          </w:p>
        </w:tc>
        <w:tc>
          <w:tcPr>
            <w:tcW w:w="12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41,883</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39,504</w:t>
            </w: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-2391410</wp:posOffset>
            </wp:positionV>
            <wp:extent cx="3917315"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7315" cy="23831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Excludes Special Items. This earnings release includes a reconciliation of non-IFRS financial measures to the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40"/>
          </w:cols>
          <w:pgMar w:left="2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MANAGEMENT’S COMMENTS ON THE 2Q24 RESULTS</w:t>
      </w:r>
    </w:p>
    <w:p>
      <w:pPr>
        <w:spacing w:after="0" w:line="18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reported the second-best operating income and margin results for the second quarter in the Company's history at US$159.5 million and 19.5%, respectively. These solid results are driven by the Company's continued focus on maintaining low ex-fuel unit costs and a healthy air travel demand environment in the region during the quarter.</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revenues for the quarter increased 1.3% to US$819.4 million driven by a 10.6% increase in passenger traffic. Load factor for the quarter came in higher year-over-year at 86.8%, or 0.7 percentage points above 2Q23 on a 9.7% increase in capacity.</w:t>
      </w:r>
    </w:p>
    <w:p>
      <w:pPr>
        <w:spacing w:after="0" w:line="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Passenger yields came in at 12.1 cents or 8.7% lower than 2Q23. The lower yield performance in 2Q24 is mostly due to a revision of the unredeemed ticket revenue provision for tickets sold during the year 2024. As a result, passenger revenues per ASM (PRASM) decreased by 7.9% in the quarter to 10.5 cents and RASM decreased by 7.7% to 11.0 cents, compared to 2Q23. Excluding the revision of the unredeemed ticket revenue provision, RASM would have decreased by 3.8% to 11.5 cents.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for 2Q24 increased by 7.4% to US$659.9 million mainly driven by the 9.7% increase in capacity, partially offset by lower maintenance, materials and repair costs and sales and distribution costs. Maintenance, materials and repair expenses decreased by 65.4% mainly due to an adjustment in leased aircraft return provisions of 9 aircraft leases extended during the quarter. Sales and distribution costs decreased by 7.8% due to higher penetration of direct sales and lower-cost travel agency NDC channels. Consequently, cost per available seat mile excluding fuel (Ex-fuel CASM) came in at 5.6 cents for the quarter, a 5.8% decrease when compared to the same period in 2023. Excluding the adjustment in leased aircraft return provisions, the Company would have reported an Ex-fuel CASM of 5.8 cents for 2Q24, a 1.7% decrease year over year.</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continues to have a solid balance sheet as it closed the quarter with US$1.2 billion in cash, short-term and long-term investments, which represent 35% of the last twelve months’ revenues. Total debt at the end of 2Q24 amounted to US$1.8 billion, while our Adjusted Net Debt to EBITDA ratio ended the quarter at 0.6 times.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Copa Holdings’ second quarter results are the product of a solid and well-executed business model, which is built on operating the best and most convenient network for intra-Latin America travel from its Hub of the Americas® based on Panama’s advantageous geographic position, low unit costs, best on-time performance, and a strong balance sheet. Going forward, the Company expects to leverage its strong balance sheet, leading liquidity position, and lower cost base to continue strengthening its long-term competitive position by implementing initiatives that will further reinforce its network, product, and cost competitiveness.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OUTLOOK FOR 2024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full-year operating margin outlook in the range of 21% to 23%.</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adjusting its capacity growth for the year to approximately 9% to account for the temporary suspension of flights between Panama and Venezuela.</w:t>
      </w:r>
    </w:p>
    <w:p>
      <w:pPr>
        <w:spacing w:after="0" w:line="44" w:lineRule="exact"/>
        <w:rPr>
          <w:sz w:val="20"/>
          <w:szCs w:val="20"/>
          <w:color w:val="auto"/>
        </w:rPr>
      </w:pPr>
    </w:p>
    <w:tbl>
      <w:tblPr>
        <w:tblLayout w:type="fixed"/>
        <w:tblInd w:w="1950" w:type="dxa"/>
        <w:tblCellMar>
          <w:top w:w="0" w:type="dxa"/>
          <w:left w:w="0" w:type="dxa"/>
          <w:bottom w:w="0" w:type="dxa"/>
          <w:right w:w="0" w:type="dxa"/>
        </w:tblCellMar>
      </w:tblPr>
      <w:tr>
        <w:trPr>
          <w:trHeight w:val="197"/>
        </w:trPr>
        <w:tc>
          <w:tcPr>
            <w:tcW w:w="3420" w:type="dxa"/>
            <w:vAlign w:val="bottom"/>
            <w:tcBorders>
              <w:top w:val="single" w:sz="8" w:color="auto"/>
              <w:left w:val="single" w:sz="8" w:color="auto"/>
            </w:tcBorders>
            <w:vMerge w:val="restart"/>
            <w:shd w:val="clear" w:color="auto" w:fill="0033A6"/>
          </w:tcPr>
          <w:p>
            <w:pPr>
              <w:ind w:left="40"/>
              <w:spacing w:after="0"/>
              <w:rPr>
                <w:sz w:val="20"/>
                <w:szCs w:val="20"/>
                <w:color w:val="auto"/>
              </w:rPr>
            </w:pPr>
            <w:r>
              <w:rPr>
                <w:rFonts w:ascii="Arial" w:cs="Arial" w:eastAsia="Arial" w:hAnsi="Arial"/>
                <w:sz w:val="18"/>
                <w:szCs w:val="18"/>
                <w:b w:val="1"/>
                <w:bCs w:val="1"/>
                <w:color w:val="FFFFFF"/>
              </w:rPr>
              <w:t>Financial Outlook</w:t>
            </w:r>
          </w:p>
        </w:tc>
        <w:tc>
          <w:tcPr>
            <w:tcW w:w="2420" w:type="dxa"/>
            <w:vAlign w:val="bottom"/>
            <w:tcBorders>
              <w:top w:val="single" w:sz="8" w:color="auto"/>
            </w:tcBorders>
            <w:shd w:val="clear" w:color="auto" w:fill="0033A6"/>
          </w:tcPr>
          <w:p>
            <w:pPr>
              <w:jc w:val="right"/>
              <w:ind w:right="570"/>
              <w:spacing w:after="0" w:line="197" w:lineRule="exact"/>
              <w:rPr>
                <w:sz w:val="20"/>
                <w:szCs w:val="20"/>
                <w:color w:val="auto"/>
              </w:rPr>
            </w:pPr>
            <w:r>
              <w:rPr>
                <w:rFonts w:ascii="Arial" w:cs="Arial" w:eastAsia="Arial" w:hAnsi="Arial"/>
                <w:sz w:val="18"/>
                <w:szCs w:val="18"/>
                <w:b w:val="1"/>
                <w:bCs w:val="1"/>
                <w:color w:val="FFFFFF"/>
              </w:rPr>
              <w:t>2024</w:t>
            </w:r>
          </w:p>
        </w:tc>
        <w:tc>
          <w:tcPr>
            <w:tcW w:w="1560" w:type="dxa"/>
            <w:vAlign w:val="bottom"/>
            <w:tcBorders>
              <w:top w:val="single" w:sz="8" w:color="auto"/>
              <w:right w:val="single" w:sz="8" w:color="auto"/>
            </w:tcBorders>
            <w:vMerge w:val="restart"/>
            <w:shd w:val="clear" w:color="auto" w:fill="0033A6"/>
          </w:tcPr>
          <w:p>
            <w:pPr>
              <w:jc w:val="right"/>
              <w:ind w:right="610"/>
              <w:spacing w:after="0"/>
              <w:rPr>
                <w:sz w:val="20"/>
                <w:szCs w:val="20"/>
                <w:color w:val="auto"/>
              </w:rPr>
            </w:pPr>
            <w:r>
              <w:rPr>
                <w:rFonts w:ascii="Arial" w:cs="Arial" w:eastAsia="Arial" w:hAnsi="Arial"/>
                <w:sz w:val="18"/>
                <w:szCs w:val="18"/>
                <w:b w:val="1"/>
                <w:bCs w:val="1"/>
                <w:color w:val="FFFFFF"/>
              </w:rPr>
              <w:t>2023</w:t>
            </w:r>
          </w:p>
        </w:tc>
        <w:tc>
          <w:tcPr>
            <w:tcW w:w="0" w:type="dxa"/>
            <w:vAlign w:val="bottom"/>
          </w:tcPr>
          <w:p>
            <w:pPr>
              <w:spacing w:after="0"/>
              <w:rPr>
                <w:sz w:val="1"/>
                <w:szCs w:val="1"/>
                <w:color w:val="auto"/>
              </w:rPr>
            </w:pPr>
          </w:p>
        </w:tc>
      </w:tr>
      <w:tr>
        <w:trPr>
          <w:trHeight w:val="152"/>
        </w:trPr>
        <w:tc>
          <w:tcPr>
            <w:tcW w:w="3420" w:type="dxa"/>
            <w:vAlign w:val="bottom"/>
            <w:tcBorders>
              <w:left w:val="single" w:sz="8" w:color="auto"/>
            </w:tcBorders>
            <w:vMerge w:val="continue"/>
            <w:shd w:val="clear" w:color="auto" w:fill="0033A6"/>
          </w:tcPr>
          <w:p>
            <w:pPr>
              <w:spacing w:after="0"/>
              <w:rPr>
                <w:sz w:val="13"/>
                <w:szCs w:val="13"/>
                <w:color w:val="auto"/>
              </w:rPr>
            </w:pPr>
          </w:p>
        </w:tc>
        <w:tc>
          <w:tcPr>
            <w:tcW w:w="2420" w:type="dxa"/>
            <w:vAlign w:val="bottom"/>
            <w:vMerge w:val="restart"/>
            <w:shd w:val="clear" w:color="auto" w:fill="0033A6"/>
          </w:tcPr>
          <w:p>
            <w:pPr>
              <w:jc w:val="center"/>
              <w:ind w:left="630"/>
              <w:spacing w:after="0"/>
              <w:rPr>
                <w:sz w:val="20"/>
                <w:szCs w:val="20"/>
                <w:color w:val="auto"/>
              </w:rPr>
            </w:pPr>
            <w:r>
              <w:rPr>
                <w:rFonts w:ascii="Arial" w:cs="Arial" w:eastAsia="Arial" w:hAnsi="Arial"/>
                <w:sz w:val="18"/>
                <w:szCs w:val="18"/>
                <w:b w:val="1"/>
                <w:bCs w:val="1"/>
                <w:color w:val="FFFFFF"/>
                <w:w w:val="99"/>
              </w:rPr>
              <w:t>Guidance</w:t>
            </w:r>
          </w:p>
        </w:tc>
        <w:tc>
          <w:tcPr>
            <w:tcW w:w="1560" w:type="dxa"/>
            <w:vAlign w:val="bottom"/>
            <w:tcBorders>
              <w:right w:val="single" w:sz="8" w:color="auto"/>
            </w:tcBorders>
            <w:vMerge w:val="continue"/>
            <w:shd w:val="clear" w:color="auto" w:fill="0033A6"/>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420" w:type="dxa"/>
            <w:vAlign w:val="bottom"/>
            <w:tcBorders>
              <w:left w:val="single" w:sz="8" w:color="auto"/>
            </w:tcBorders>
            <w:shd w:val="clear" w:color="auto" w:fill="0033A6"/>
          </w:tcPr>
          <w:p>
            <w:pPr>
              <w:spacing w:after="0"/>
              <w:rPr>
                <w:sz w:val="7"/>
                <w:szCs w:val="7"/>
                <w:color w:val="auto"/>
              </w:rPr>
            </w:pPr>
          </w:p>
        </w:tc>
        <w:tc>
          <w:tcPr>
            <w:tcW w:w="2420" w:type="dxa"/>
            <w:vAlign w:val="bottom"/>
            <w:vMerge w:val="continue"/>
            <w:shd w:val="clear" w:color="auto" w:fill="0033A6"/>
          </w:tcPr>
          <w:p>
            <w:pPr>
              <w:spacing w:after="0"/>
              <w:rPr>
                <w:sz w:val="7"/>
                <w:szCs w:val="7"/>
                <w:color w:val="auto"/>
              </w:rPr>
            </w:pPr>
          </w:p>
        </w:tc>
        <w:tc>
          <w:tcPr>
            <w:tcW w:w="1560" w:type="dxa"/>
            <w:vAlign w:val="bottom"/>
            <w:tcBorders>
              <w:right w:val="single" w:sz="8" w:color="auto"/>
            </w:tcBorders>
            <w:shd w:val="clear" w:color="auto" w:fill="0033A6"/>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4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Capacity – YOY ASM growth</w:t>
            </w:r>
          </w:p>
        </w:tc>
        <w:tc>
          <w:tcPr>
            <w:tcW w:w="2420" w:type="dxa"/>
            <w:vAlign w:val="bottom"/>
          </w:tcPr>
          <w:p>
            <w:pPr>
              <w:ind w:left="9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9%</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35"/>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Operating Margin</w:t>
            </w:r>
          </w:p>
        </w:tc>
        <w:tc>
          <w:tcPr>
            <w:tcW w:w="24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21-23%</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Factored into this outlook is a load factor of approximately 86.5%; unit revenues (RASM) of 11.5 cents, which account for the unexpected Venezuela capacity reductions, weaker currencies in the region, and a lower fuel cost environment. Unit costs excluding fuel (Ex-Fuel CASM) are expected in the range of 5.9 cents, and all-in fuel price is expected to be $2.70 per gallon for the full year 2024.</w:t>
      </w:r>
    </w:p>
    <w:p>
      <w:pPr>
        <w:spacing w:after="0" w:line="200" w:lineRule="exact"/>
        <w:rPr>
          <w:sz w:val="20"/>
          <w:szCs w:val="20"/>
          <w:color w:val="auto"/>
        </w:rPr>
      </w:pPr>
    </w:p>
    <w:p>
      <w:pPr>
        <w:spacing w:after="0" w:line="262" w:lineRule="exact"/>
        <w:rPr>
          <w:sz w:val="20"/>
          <w:szCs w:val="20"/>
          <w:color w:val="auto"/>
        </w:rPr>
      </w:pPr>
    </w:p>
    <w:p>
      <w:pPr>
        <w:ind w:right="5540"/>
        <w:spacing w:after="0" w:line="408" w:lineRule="auto"/>
        <w:rPr>
          <w:sz w:val="20"/>
          <w:szCs w:val="20"/>
          <w:color w:val="auto"/>
        </w:rPr>
      </w:pPr>
      <w:r>
        <w:rPr>
          <w:rFonts w:ascii="Arial" w:cs="Arial" w:eastAsia="Arial" w:hAnsi="Arial"/>
          <w:sz w:val="25"/>
          <w:szCs w:val="25"/>
          <w:b w:val="1"/>
          <w:bCs w:val="1"/>
          <w:color w:val="auto"/>
        </w:rPr>
        <w:t>CONSOLIDATED SECOND-QUARTER RESULTS Operating revenue</w:t>
      </w: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2Q24 totaled US$819.4 million, a 1.3% or US$10.2 million increase from operating revenue of US$809.2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2Q23, mainly driven by passenger revenue.</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revenue </w:t>
      </w:r>
      <w:r>
        <w:rPr>
          <w:rFonts w:ascii="Arial" w:cs="Arial" w:eastAsia="Arial" w:hAnsi="Arial"/>
          <w:sz w:val="18"/>
          <w:szCs w:val="18"/>
          <w:color w:val="auto"/>
        </w:rPr>
        <w:t>totaled US$781.5 million, a 1.0% increase compared to the same period in 2023, mainly driven by a 10.6% year-over-year increase in passenger traffic partly offset by an 8.7% decrease in passenger yield. The second-quarter results are mostly comprised of flown passenger ticket revenue and passenger-related ancillary revenue.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Cargo and mail revenue </w:t>
      </w:r>
      <w:r>
        <w:rPr>
          <w:rFonts w:ascii="Arial" w:cs="Arial" w:eastAsia="Arial" w:hAnsi="Arial"/>
          <w:sz w:val="18"/>
          <w:szCs w:val="18"/>
          <w:color w:val="auto"/>
        </w:rPr>
        <w:t>totaled US$25.2 million, a 5.4% increase compared to the same period in 2023, due to higher volumes, partly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lower cargo yields.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revenue </w:t>
      </w:r>
      <w:r>
        <w:rPr>
          <w:rFonts w:ascii="Arial" w:cs="Arial" w:eastAsia="Arial" w:hAnsi="Arial"/>
          <w:sz w:val="18"/>
          <w:szCs w:val="18"/>
          <w:color w:val="auto"/>
        </w:rPr>
        <w:t>totaled US$12.7 million, a 10.4% increase year-over-year, mostly due to higher ConnectMiles revenues from non-air partners.</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expenses</w:t>
      </w:r>
    </w:p>
    <w:p>
      <w:pPr>
        <w:spacing w:after="0" w:line="2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Consolidated operating costs </w:t>
      </w:r>
      <w:r>
        <w:rPr>
          <w:rFonts w:ascii="Arial" w:cs="Arial" w:eastAsia="Arial" w:hAnsi="Arial"/>
          <w:sz w:val="18"/>
          <w:szCs w:val="18"/>
          <w:color w:val="auto"/>
        </w:rPr>
        <w:t>for 2Q24 increased by 7.4% compared to 2Q23 to US$659.9 million, driven by higher capacity,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maintenance, materials and repair costs, and sales and distribution costs.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Fuel </w:t>
      </w:r>
      <w:r>
        <w:rPr>
          <w:rFonts w:ascii="Arial" w:cs="Arial" w:eastAsia="Arial" w:hAnsi="Arial"/>
          <w:sz w:val="18"/>
          <w:szCs w:val="18"/>
          <w:color w:val="auto"/>
        </w:rPr>
        <w:t>totaled US$246.0 million, an increase of US$31.9 million or 14.9% compared to the same period in 2023, due to a 5.2% higher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fuel price and a 9.6% increase in fuel gallons consumed.</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Wages, salaries, benefits, and other employee expenses </w:t>
      </w:r>
      <w:r>
        <w:rPr>
          <w:rFonts w:ascii="Arial" w:cs="Arial" w:eastAsia="Arial" w:hAnsi="Arial"/>
          <w:sz w:val="18"/>
          <w:szCs w:val="18"/>
          <w:color w:val="auto"/>
        </w:rPr>
        <w:t>totaled US$114.9 million, an 8.6% increase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driven by growth in operational staff to support current capacity and cost of living salary adjustments.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servicing </w:t>
      </w:r>
      <w:r>
        <w:rPr>
          <w:rFonts w:ascii="Arial" w:cs="Arial" w:eastAsia="Arial" w:hAnsi="Arial"/>
          <w:sz w:val="18"/>
          <w:szCs w:val="18"/>
          <w:color w:val="auto"/>
        </w:rPr>
        <w:t>totaled US$ 27.6 million, a 28.5% increase compared to the same period in 2023. Not including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grounding of the MAX 9 during 1Q24, passenger servicing costs would have increased by 18.8%, driven mostly by an 11.2% increase in onboard passengers and an increase in irregular operations in certain airports.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Airport facilities and handling charges </w:t>
      </w:r>
      <w:r>
        <w:rPr>
          <w:rFonts w:ascii="Arial" w:cs="Arial" w:eastAsia="Arial" w:hAnsi="Arial"/>
          <w:sz w:val="18"/>
          <w:szCs w:val="18"/>
          <w:color w:val="auto"/>
        </w:rPr>
        <w:t>totaled US$ 62.8 million, a 15.9% increase compared to the same period in 2023, mostly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8.8% increase in departures, changes in the mix of routes and higher airport and handling fees in certain countries.</w:t>
      </w:r>
    </w:p>
    <w:p>
      <w:pPr>
        <w:spacing w:after="0" w:line="212"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Sales and distribution </w:t>
      </w:r>
      <w:r>
        <w:rPr>
          <w:rFonts w:ascii="Arial" w:cs="Arial" w:eastAsia="Arial" w:hAnsi="Arial"/>
          <w:sz w:val="18"/>
          <w:szCs w:val="18"/>
          <w:color w:val="auto"/>
        </w:rPr>
        <w:t>totaled US$52.2 million, a 7.8% decrease compared to the same period in 2023, due to a reduction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distribution costs as a result of higher penetration of both direct sales and lower-cost NDC travel agency channels.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Maintenance, materials, and repairs </w:t>
      </w:r>
      <w:r>
        <w:rPr>
          <w:rFonts w:ascii="Arial" w:cs="Arial" w:eastAsia="Arial" w:hAnsi="Arial"/>
          <w:sz w:val="18"/>
          <w:szCs w:val="18"/>
          <w:color w:val="auto"/>
        </w:rPr>
        <w:t>totaled US$10.9 million, a 65.4% decrease compared to the same period in 2023, mainly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in the provision related to the future return of 9 leased aircraft driven by their contract extensions, partially offset by higher costs related to components repairs driven by an increase of 8.0% in flight hours.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totaled US$79.5 million, a 6.2% increase compared to the same period in 2023, mostly related to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and maintenance events amortization, partially offset by the amortization of the compensation received due to the 737 MAX-9 fleet grounding in 1Q24.</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Flight operations </w:t>
      </w:r>
      <w:r>
        <w:rPr>
          <w:rFonts w:ascii="Arial" w:cs="Arial" w:eastAsia="Arial" w:hAnsi="Arial"/>
          <w:sz w:val="18"/>
          <w:szCs w:val="18"/>
          <w:color w:val="auto"/>
        </w:rPr>
        <w:t>totaled US$31.9 million related to overflight fees, a 27.6% increase compared to the same period in 2023, driven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8.4% in block hours, higher overflight rates in certain countries, and the year-over-year effect of the reversal of prior period provisions made during 2Q23.</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and administrative expenses </w:t>
      </w:r>
      <w:r>
        <w:rPr>
          <w:rFonts w:ascii="Arial" w:cs="Arial" w:eastAsia="Arial" w:hAnsi="Arial"/>
          <w:sz w:val="18"/>
          <w:szCs w:val="18"/>
          <w:color w:val="auto"/>
        </w:rPr>
        <w:t>totaled US$34.2 million, a 9.7% increase compared to the same period in 2023, mainly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higher capacity.</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Non-operating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non-operating income (expense) </w:t>
      </w:r>
      <w:r>
        <w:rPr>
          <w:rFonts w:ascii="Arial" w:cs="Arial" w:eastAsia="Arial" w:hAnsi="Arial"/>
          <w:sz w:val="18"/>
          <w:szCs w:val="18"/>
          <w:color w:val="auto"/>
        </w:rPr>
        <w:t>resulted in a net expense of US$(18.9) million in 2Q24.</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Finance cost </w:t>
      </w:r>
      <w:r>
        <w:rPr>
          <w:rFonts w:ascii="Arial" w:cs="Arial" w:eastAsia="Arial" w:hAnsi="Arial"/>
          <w:sz w:val="18"/>
          <w:szCs w:val="18"/>
          <w:color w:val="auto"/>
        </w:rPr>
        <w:t>totaled US$(20.6) million, comprised of US$12.8 million related to loan interest expenses, US$4.1 million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discount rate utilized for the calculation of leased aircraft charges and US$3.8 million in interest charges related to operating leases.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Finance income </w:t>
      </w:r>
      <w:r>
        <w:rPr>
          <w:rFonts w:ascii="Arial" w:cs="Arial" w:eastAsia="Arial" w:hAnsi="Arial"/>
          <w:sz w:val="18"/>
          <w:szCs w:val="18"/>
          <w:color w:val="auto"/>
        </w:rPr>
        <w:t>totaled US$13.5 million, related to proceeds from investments.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 (loss) on foreign currency fluctuations </w:t>
      </w:r>
      <w:r>
        <w:rPr>
          <w:rFonts w:ascii="Arial" w:cs="Arial" w:eastAsia="Arial" w:hAnsi="Arial"/>
          <w:sz w:val="18"/>
          <w:szCs w:val="18"/>
          <w:color w:val="auto"/>
        </w:rPr>
        <w:t>totaled US$(16.1) million, mainly driven by the depreciation of the Brazilian real, Colombian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peso and Mexican peso. The US$6.3 million loss related to the devaluation of the Brazilian real was partially offset by a US$2.5 million unrealized mark-to-market gain from hedge transactions which are reflected in the Net change in fair value of derivatives line.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Net change in fair value of derivatives </w:t>
      </w:r>
      <w:r>
        <w:rPr>
          <w:rFonts w:ascii="Arial" w:cs="Arial" w:eastAsia="Arial" w:hAnsi="Arial"/>
          <w:sz w:val="18"/>
          <w:szCs w:val="18"/>
          <w:color w:val="auto"/>
        </w:rPr>
        <w:t>totaled US$2.5 million, mostly driven by the unrealized mark-to-market gain of hedge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Brazilian real.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non-operating income (expense) </w:t>
      </w:r>
      <w:r>
        <w:rPr>
          <w:rFonts w:ascii="Arial" w:cs="Arial" w:eastAsia="Arial" w:hAnsi="Arial"/>
          <w:sz w:val="18"/>
          <w:szCs w:val="18"/>
          <w:color w:val="auto"/>
        </w:rPr>
        <w:t>totaled US$1.8 million in 2Q24.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Copa Holdings</w:t>
      </w:r>
    </w:p>
    <w:p>
      <w:pPr>
        <w:spacing w:after="0" w:line="211" w:lineRule="auto"/>
        <w:rPr>
          <w:sz w:val="20"/>
          <w:szCs w:val="20"/>
          <w:color w:val="auto"/>
        </w:rPr>
      </w:pPr>
      <w:r>
        <w:rPr>
          <w:rFonts w:ascii="Arial" w:cs="Arial" w:eastAsia="Arial" w:hAnsi="Arial"/>
          <w:sz w:val="20"/>
          <w:szCs w:val="20"/>
          <w:i w:val="1"/>
          <w:iCs w:val="1"/>
          <w:color w:val="auto"/>
        </w:rPr>
        <w:t>Copa Holdings is a leading Latin American provider of passenger and cargo services. The Company, through its operating</w:t>
      </w:r>
    </w:p>
    <w:p>
      <w:pPr>
        <w:spacing w:after="0" w:line="197" w:lineRule="auto"/>
        <w:rPr>
          <w:sz w:val="20"/>
          <w:szCs w:val="20"/>
          <w:color w:val="auto"/>
        </w:rPr>
      </w:pPr>
      <w:r>
        <w:rPr>
          <w:rFonts w:ascii="Arial" w:cs="Arial" w:eastAsia="Arial" w:hAnsi="Arial"/>
          <w:sz w:val="20"/>
          <w:szCs w:val="20"/>
          <w:i w:val="1"/>
          <w:iCs w:val="1"/>
          <w:color w:val="auto"/>
        </w:rPr>
        <w:t>subsidiaries, provides service to countries in North, Central, and South America and the Caribbean.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000FF"/>
        </w:rPr>
        <w:t>www.copaair.com</w:t>
      </w:r>
      <w:r>
        <w:rPr>
          <w:rFonts w:ascii="Arial" w:cs="Arial" w:eastAsia="Arial" w:hAnsi="Arial"/>
          <w:sz w:val="20"/>
          <w:szCs w:val="20"/>
          <w:i w:val="1"/>
          <w:iCs w:val="1"/>
          <w:color w:val="000000"/>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Copa Holdings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3" w:lineRule="auto"/>
        <w:rPr>
          <w:sz w:val="20"/>
          <w:szCs w:val="20"/>
          <w:color w:val="auto"/>
        </w:rPr>
      </w:pPr>
      <w:r>
        <w:rPr>
          <w:rFonts w:ascii="Arial" w:cs="Arial" w:eastAsia="Arial" w:hAnsi="Arial"/>
          <w:sz w:val="18"/>
          <w:szCs w:val="18"/>
          <w:color w:val="auto"/>
        </w:rPr>
        <w:t>Ph: 011 507 304-2774</w:t>
      </w:r>
    </w:p>
    <w:p>
      <w:pPr>
        <w:spacing w:after="0"/>
        <w:rPr>
          <w:sz w:val="20"/>
          <w:szCs w:val="20"/>
          <w:color w:val="auto"/>
        </w:rPr>
      </w:pPr>
      <w:r>
        <w:rPr>
          <w:rFonts w:ascii="Arial" w:cs="Arial" w:eastAsia="Arial" w:hAnsi="Arial"/>
          <w:sz w:val="18"/>
          <w:szCs w:val="18"/>
          <w:u w:val="single" w:color="auto"/>
          <w:color w:val="0000FF"/>
        </w:rPr>
        <w:t>www.copaair.com</w:t>
      </w:r>
      <w:r>
        <w:rPr>
          <w:rFonts w:ascii="Arial" w:cs="Arial" w:eastAsia="Arial" w:hAnsi="Arial"/>
          <w:sz w:val="18"/>
          <w:szCs w:val="18"/>
          <w:color w:val="0000FF"/>
        </w:rPr>
        <w:t xml:space="preserve"> </w:t>
      </w:r>
      <w:r>
        <w:rPr>
          <w:rFonts w:ascii="Arial" w:cs="Arial" w:eastAsia="Arial" w:hAnsi="Arial"/>
          <w:sz w:val="18"/>
          <w:szCs w:val="18"/>
          <w:color w:val="000000"/>
        </w:rPr>
        <w:t>(IR section)</w:t>
      </w:r>
    </w:p>
    <w:p>
      <w:pPr>
        <w:spacing w:after="0" w:line="308" w:lineRule="exact"/>
        <w:rPr>
          <w:sz w:val="20"/>
          <w:szCs w:val="20"/>
          <w:color w:val="auto"/>
        </w:rPr>
      </w:pPr>
    </w:p>
    <w:p>
      <w:pPr>
        <w:jc w:val="both"/>
        <w:spacing w:after="0" w:line="222" w:lineRule="auto"/>
        <w:rPr>
          <w:sz w:val="20"/>
          <w:szCs w:val="20"/>
          <w:color w:val="auto"/>
        </w:rPr>
      </w:pPr>
      <w:r>
        <w:rPr>
          <w:rFonts w:ascii="Arial" w:cs="Arial" w:eastAsia="Arial" w:hAnsi="Arial"/>
          <w:sz w:val="16"/>
          <w:szCs w:val="16"/>
          <w:i w:val="1"/>
          <w:iCs w:val="1"/>
          <w:color w:val="auto"/>
        </w:rPr>
        <w:t>This release includes “forward-looking statements” within the meaning of the Private Securities Litigation Reform Act of 1995. Such forward-looking statements are based on current plans, estimates, and expectations, and are not guarantees of future performance. They are based on management’s expectations that involve several business risks and uncertainties, any of which could cause actual results to differ materially from those expressed in or implied by the forward-looking statements. The Company undertakes no obligation to update or revise any forward-looking statement. The risks and uncertainties relating to the forward-looking statements in this release are among those disclosed in Copa Holdings’ filed disclosure documents and are, therefore, subject to change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574"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660" w:type="dxa"/>
            <w:vAlign w:val="bottom"/>
            <w:tcBorders>
              <w:top w:val="single" w:sz="8" w:color="auto"/>
              <w:left w:val="single" w:sz="8" w:color="auto"/>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Unaudited</w:t>
            </w: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4"/>
              </w:rPr>
              <w:t>Unaudited</w:t>
            </w:r>
          </w:p>
        </w:tc>
        <w:tc>
          <w:tcPr>
            <w:tcW w:w="740" w:type="dxa"/>
            <w:vAlign w:val="bottom"/>
            <w:tcBorders>
              <w:top w:val="single" w:sz="8" w:color="auto"/>
            </w:tcBorders>
            <w:shd w:val="clear" w:color="auto" w:fill="BFBFBF"/>
          </w:tcPr>
          <w:p>
            <w:pPr>
              <w:jc w:val="right"/>
              <w:ind w:right="157"/>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right w:val="single" w:sz="8" w:color="auto"/>
            </w:tcBorders>
            <w:shd w:val="clear" w:color="auto" w:fill="BFBFBF"/>
          </w:tcPr>
          <w:p>
            <w:pPr>
              <w:spacing w:after="0"/>
              <w:rPr>
                <w:sz w:val="16"/>
                <w:szCs w:val="16"/>
                <w:color w:val="auto"/>
              </w:rPr>
            </w:pPr>
          </w:p>
        </w:tc>
        <w:tc>
          <w:tcPr>
            <w:tcW w:w="10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4"/>
              </w:rPr>
              <w:t>Unaudited</w:t>
            </w:r>
          </w:p>
        </w:tc>
        <w:tc>
          <w:tcPr>
            <w:tcW w:w="700" w:type="dxa"/>
            <w:vAlign w:val="bottom"/>
            <w:tcBorders>
              <w:top w:val="single" w:sz="8" w:color="auto"/>
            </w:tcBorders>
            <w:shd w:val="clear" w:color="auto" w:fill="BFBFBF"/>
          </w:tcPr>
          <w:p>
            <w:pPr>
              <w:jc w:val="right"/>
              <w:ind w:right="13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right w:val="single" w:sz="8" w:color="auto"/>
            </w:tcBorders>
            <w:shd w:val="clear" w:color="auto" w:fill="BFBFBF"/>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4"/>
              </w:rPr>
              <w:t>Unaudited</w:t>
            </w:r>
          </w:p>
        </w:tc>
        <w:tc>
          <w:tcPr>
            <w:tcW w:w="9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Unaudited</w:t>
            </w:r>
          </w:p>
        </w:tc>
        <w:tc>
          <w:tcPr>
            <w:tcW w:w="880" w:type="dxa"/>
            <w:vAlign w:val="bottom"/>
            <w:tcBorders>
              <w:top w:val="single" w:sz="8" w:color="auto"/>
            </w:tcBorders>
            <w:shd w:val="clear" w:color="auto" w:fill="BFBFBF"/>
          </w:tcPr>
          <w:p>
            <w:pPr>
              <w:jc w:val="right"/>
              <w:ind w:right="23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2Q24</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2Q23</w:t>
            </w:r>
          </w:p>
        </w:tc>
        <w:tc>
          <w:tcPr>
            <w:tcW w:w="940" w:type="dxa"/>
            <w:vAlign w:val="bottom"/>
            <w:tcBorders>
              <w:right w:val="single" w:sz="8" w:color="auto"/>
            </w:tcBorders>
            <w:gridSpan w:val="2"/>
            <w:shd w:val="clear" w:color="auto" w:fill="BFBFBF"/>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1Q24</w:t>
            </w:r>
          </w:p>
        </w:tc>
        <w:tc>
          <w:tcPr>
            <w:tcW w:w="920" w:type="dxa"/>
            <w:vAlign w:val="bottom"/>
            <w:tcBorders>
              <w:right w:val="single" w:sz="8" w:color="auto"/>
            </w:tcBorders>
            <w:gridSpan w:val="2"/>
            <w:shd w:val="clear" w:color="auto" w:fill="BFBFBF"/>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8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YTD24</w:t>
            </w:r>
          </w:p>
        </w:tc>
        <w:tc>
          <w:tcPr>
            <w:tcW w:w="960" w:type="dxa"/>
            <w:vAlign w:val="bottom"/>
          </w:tcPr>
          <w:p>
            <w:pPr>
              <w:jc w:val="right"/>
              <w:ind w:right="217"/>
              <w:spacing w:after="0"/>
              <w:rPr>
                <w:sz w:val="20"/>
                <w:szCs w:val="20"/>
                <w:color w:val="auto"/>
              </w:rPr>
            </w:pPr>
            <w:r>
              <w:rPr>
                <w:rFonts w:ascii="Arial" w:cs="Arial" w:eastAsia="Arial" w:hAnsi="Arial"/>
                <w:sz w:val="13"/>
                <w:szCs w:val="13"/>
                <w:b w:val="1"/>
                <w:bCs w:val="1"/>
                <w:color w:val="auto"/>
              </w:rPr>
              <w:t>YTD23</w:t>
            </w:r>
          </w:p>
        </w:tc>
        <w:tc>
          <w:tcPr>
            <w:tcW w:w="1100" w:type="dxa"/>
            <w:vAlign w:val="bottom"/>
            <w:tcBorders>
              <w:right w:val="single" w:sz="8" w:color="auto"/>
            </w:tcBorders>
            <w:gridSpan w:val="2"/>
            <w:shd w:val="clear" w:color="auto" w:fill="BFBFBF"/>
          </w:tcPr>
          <w:p>
            <w:pPr>
              <w:jc w:val="right"/>
              <w:ind w:right="27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Operating Revenues</w:t>
            </w: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shd w:val="clear" w:color="auto" w:fill="BFBFBF"/>
          </w:tcPr>
          <w:p>
            <w:pPr>
              <w:spacing w:after="0"/>
              <w:rPr>
                <w:sz w:val="14"/>
                <w:szCs w:val="14"/>
                <w:color w:val="auto"/>
              </w:rPr>
            </w:pPr>
          </w:p>
        </w:tc>
        <w:tc>
          <w:tcPr>
            <w:tcW w:w="200" w:type="dxa"/>
            <w:vAlign w:val="bottom"/>
            <w:tcBorders>
              <w:top w:val="single" w:sz="8" w:color="auto"/>
              <w:right w:val="single" w:sz="8" w:color="auto"/>
            </w:tcBorders>
            <w:shd w:val="clear" w:color="auto" w:fill="BFBFBF"/>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shd w:val="clear" w:color="auto" w:fill="BFBFBF"/>
          </w:tcPr>
          <w:p>
            <w:pPr>
              <w:spacing w:after="0"/>
              <w:rPr>
                <w:sz w:val="14"/>
                <w:szCs w:val="14"/>
                <w:color w:val="auto"/>
              </w:rPr>
            </w:pPr>
          </w:p>
        </w:tc>
        <w:tc>
          <w:tcPr>
            <w:tcW w:w="220" w:type="dxa"/>
            <w:vAlign w:val="bottom"/>
            <w:tcBorders>
              <w:top w:val="single" w:sz="8" w:color="auto"/>
              <w:right w:val="single" w:sz="8" w:color="auto"/>
            </w:tcBorders>
            <w:shd w:val="clear" w:color="auto" w:fill="BFBFBF"/>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shd w:val="clear" w:color="auto" w:fill="BFBFBF"/>
          </w:tcPr>
          <w:p>
            <w:pPr>
              <w:spacing w:after="0"/>
              <w:rPr>
                <w:sz w:val="14"/>
                <w:szCs w:val="14"/>
                <w:color w:val="auto"/>
              </w:rPr>
            </w:pPr>
          </w:p>
        </w:tc>
        <w:tc>
          <w:tcPr>
            <w:tcW w:w="22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Passenger revenue</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781,497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773,781</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858,725</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(9.0</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1,640,222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1,607,798</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2.0</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Cargo and mail revenue</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25,184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23,888</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5.4</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21,910</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14.9</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47,095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47,140</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(0.1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Other operating revenue</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12,722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11,521</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10.4</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12,831</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(0.9</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25,553</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21,516</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18.8</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Total Operating Revenue</w:t>
            </w: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1.3</w:t>
            </w:r>
          </w:p>
        </w:tc>
        <w:tc>
          <w:tcPr>
            <w:tcW w:w="20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(8.3</w:t>
            </w:r>
          </w:p>
        </w:tc>
        <w:tc>
          <w:tcPr>
            <w:tcW w:w="22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2.2</w:t>
            </w:r>
          </w:p>
        </w:tc>
        <w:tc>
          <w:tcPr>
            <w:tcW w:w="22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819,403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809,190</w:t>
            </w:r>
          </w:p>
        </w:tc>
        <w:tc>
          <w:tcPr>
            <w:tcW w:w="100" w:type="dxa"/>
            <w:vAlign w:val="bottom"/>
          </w:tcPr>
          <w:p>
            <w:pPr>
              <w:spacing w:after="0"/>
              <w:rPr>
                <w:sz w:val="15"/>
                <w:szCs w:val="15"/>
                <w:color w:val="auto"/>
              </w:rPr>
            </w:pPr>
          </w:p>
        </w:tc>
        <w:tc>
          <w:tcPr>
            <w:tcW w:w="740" w:type="dxa"/>
            <w:vAlign w:val="bottom"/>
            <w:tcBorders>
              <w:bottom w:val="single" w:sz="8" w:color="BFBFBF"/>
            </w:tcBorders>
            <w:vMerge w:val="continue"/>
            <w:shd w:val="clear" w:color="auto" w:fill="BFBFBF"/>
          </w:tcPr>
          <w:p>
            <w:pPr>
              <w:spacing w:after="0"/>
              <w:rPr>
                <w:sz w:val="15"/>
                <w:szCs w:val="15"/>
                <w:color w:val="auto"/>
              </w:rPr>
            </w:pPr>
          </w:p>
        </w:tc>
        <w:tc>
          <w:tcPr>
            <w:tcW w:w="20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893,467</w:t>
            </w:r>
          </w:p>
        </w:tc>
        <w:tc>
          <w:tcPr>
            <w:tcW w:w="80" w:type="dxa"/>
            <w:vAlign w:val="bottom"/>
          </w:tcPr>
          <w:p>
            <w:pPr>
              <w:spacing w:after="0"/>
              <w:rPr>
                <w:sz w:val="15"/>
                <w:szCs w:val="15"/>
                <w:color w:val="auto"/>
              </w:rPr>
            </w:pPr>
          </w:p>
        </w:tc>
        <w:tc>
          <w:tcPr>
            <w:tcW w:w="70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1,712,870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1,676,454</w:t>
            </w:r>
          </w:p>
        </w:tc>
        <w:tc>
          <w:tcPr>
            <w:tcW w:w="88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Operating Expenses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246,011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214,121</w:t>
            </w:r>
          </w:p>
        </w:tc>
        <w:tc>
          <w:tcPr>
            <w:tcW w:w="100" w:type="dxa"/>
            <w:vAlign w:val="bottom"/>
          </w:tcPr>
          <w:p>
            <w:pPr>
              <w:spacing w:after="0"/>
              <w:rPr>
                <w:sz w:val="15"/>
                <w:szCs w:val="15"/>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14.9</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245,352</w:t>
            </w:r>
          </w:p>
        </w:tc>
        <w:tc>
          <w:tcPr>
            <w:tcW w:w="80" w:type="dxa"/>
            <w:vAlign w:val="bottom"/>
          </w:tcPr>
          <w:p>
            <w:pPr>
              <w:spacing w:after="0"/>
              <w:rPr>
                <w:sz w:val="15"/>
                <w:szCs w:val="15"/>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0.3</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491,363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479,619</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2.4</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Wages, salaries, benefits and other</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114,878</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105,788</w:t>
            </w:r>
          </w:p>
        </w:tc>
        <w:tc>
          <w:tcPr>
            <w:tcW w:w="100" w:type="dxa"/>
            <w:vAlign w:val="bottom"/>
          </w:tcPr>
          <w:p>
            <w:pPr>
              <w:spacing w:after="0"/>
              <w:rPr>
                <w:sz w:val="16"/>
                <w:szCs w:val="16"/>
                <w:color w:val="auto"/>
              </w:rPr>
            </w:pPr>
          </w:p>
        </w:tc>
        <w:tc>
          <w:tcPr>
            <w:tcW w:w="74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8.6</w:t>
            </w:r>
          </w:p>
        </w:tc>
        <w:tc>
          <w:tcPr>
            <w:tcW w:w="20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114,314</w:t>
            </w:r>
          </w:p>
        </w:tc>
        <w:tc>
          <w:tcPr>
            <w:tcW w:w="80" w:type="dxa"/>
            <w:vAlign w:val="bottom"/>
          </w:tcPr>
          <w:p>
            <w:pPr>
              <w:spacing w:after="0"/>
              <w:rPr>
                <w:sz w:val="16"/>
                <w:szCs w:val="16"/>
                <w:color w:val="auto"/>
              </w:rPr>
            </w:pPr>
          </w:p>
        </w:tc>
        <w:tc>
          <w:tcPr>
            <w:tcW w:w="70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0.5</w:t>
            </w:r>
          </w:p>
        </w:tc>
        <w:tc>
          <w:tcPr>
            <w:tcW w:w="2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229,193</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208,441</w:t>
            </w:r>
          </w:p>
        </w:tc>
        <w:tc>
          <w:tcPr>
            <w:tcW w:w="88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10.0</w:t>
            </w:r>
          </w:p>
        </w:tc>
        <w:tc>
          <w:tcPr>
            <w:tcW w:w="2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employees' expenses</w:t>
            </w: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shd w:val="clear" w:color="auto" w:fill="BFBFBF"/>
          </w:tcPr>
          <w:p>
            <w:pPr>
              <w:spacing w:after="0"/>
              <w:rPr>
                <w:sz w:val="14"/>
                <w:szCs w:val="14"/>
                <w:color w:val="auto"/>
              </w:rPr>
            </w:pPr>
          </w:p>
        </w:tc>
        <w:tc>
          <w:tcPr>
            <w:tcW w:w="200" w:type="dxa"/>
            <w:vAlign w:val="bottom"/>
            <w:tcBorders>
              <w:right w:val="single" w:sz="8" w:color="auto"/>
            </w:tcBorders>
            <w:vMerge w:val="continue"/>
            <w:shd w:val="clear" w:color="auto" w:fill="BFBFBF"/>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shd w:val="clear" w:color="auto" w:fill="BFBFBF"/>
          </w:tcPr>
          <w:p>
            <w:pPr>
              <w:spacing w:after="0"/>
              <w:rPr>
                <w:sz w:val="14"/>
                <w:szCs w:val="14"/>
                <w:color w:val="auto"/>
              </w:rPr>
            </w:pPr>
          </w:p>
        </w:tc>
        <w:tc>
          <w:tcPr>
            <w:tcW w:w="220" w:type="dxa"/>
            <w:vAlign w:val="bottom"/>
            <w:tcBorders>
              <w:right w:val="single" w:sz="8" w:color="auto"/>
            </w:tcBorders>
            <w:vMerge w:val="continue"/>
            <w:shd w:val="clear" w:color="auto" w:fill="BFBFBF"/>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vMerge w:val="continue"/>
            <w:shd w:val="clear" w:color="auto" w:fill="BFBFBF"/>
          </w:tcPr>
          <w:p>
            <w:pPr>
              <w:spacing w:after="0"/>
              <w:rPr>
                <w:sz w:val="14"/>
                <w:szCs w:val="14"/>
                <w:color w:val="auto"/>
              </w:rPr>
            </w:pPr>
          </w:p>
        </w:tc>
        <w:tc>
          <w:tcPr>
            <w:tcW w:w="220" w:type="dxa"/>
            <w:vAlign w:val="bottom"/>
            <w:tcBorders>
              <w:right w:val="single" w:sz="8" w:color="auto"/>
            </w:tcBorders>
            <w:vMerge w:val="continue"/>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Passenger servicing</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27,579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21,460</w:t>
            </w:r>
          </w:p>
        </w:tc>
        <w:tc>
          <w:tcPr>
            <w:tcW w:w="100" w:type="dxa"/>
            <w:vAlign w:val="bottom"/>
          </w:tcPr>
          <w:p>
            <w:pPr>
              <w:spacing w:after="0"/>
              <w:rPr>
                <w:sz w:val="16"/>
                <w:szCs w:val="16"/>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28.5</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29,684</w:t>
            </w:r>
          </w:p>
        </w:tc>
        <w:tc>
          <w:tcPr>
            <w:tcW w:w="80" w:type="dxa"/>
            <w:vAlign w:val="bottom"/>
          </w:tcPr>
          <w:p>
            <w:pPr>
              <w:spacing w:after="0"/>
              <w:rPr>
                <w:sz w:val="16"/>
                <w:szCs w:val="16"/>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57,263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41,852</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36.8</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Airport facilities and handling charges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62,768</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54,146</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15.9</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60,347</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4.0</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123,115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104,625</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17.7</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Sales and distribution</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52,210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56,596</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(7.8</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55,494</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(5.9</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107,704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118,002</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(8.7</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Maintenance, materials and repairs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10,883</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31,430</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(65.4</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25,627</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(57.5</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36,510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71,726</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(49.1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79,462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74,818</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6.2</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83,365</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(4.7</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162,827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147,494</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10.4</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Flight operations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31,914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25,005</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27.6</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31,029</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2.9</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62,944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52,429</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20.1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Other operating and administrative</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34,190</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31,158</w:t>
            </w:r>
          </w:p>
        </w:tc>
        <w:tc>
          <w:tcPr>
            <w:tcW w:w="100" w:type="dxa"/>
            <w:vAlign w:val="bottom"/>
          </w:tcPr>
          <w:p>
            <w:pPr>
              <w:spacing w:after="0"/>
              <w:rPr>
                <w:sz w:val="16"/>
                <w:szCs w:val="16"/>
                <w:color w:val="auto"/>
              </w:rPr>
            </w:pPr>
          </w:p>
        </w:tc>
        <w:tc>
          <w:tcPr>
            <w:tcW w:w="74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9.7</w:t>
            </w:r>
          </w:p>
        </w:tc>
        <w:tc>
          <w:tcPr>
            <w:tcW w:w="20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32,270</w:t>
            </w:r>
          </w:p>
        </w:tc>
        <w:tc>
          <w:tcPr>
            <w:tcW w:w="80" w:type="dxa"/>
            <w:vAlign w:val="bottom"/>
          </w:tcPr>
          <w:p>
            <w:pPr>
              <w:spacing w:after="0"/>
              <w:rPr>
                <w:sz w:val="16"/>
                <w:szCs w:val="16"/>
                <w:color w:val="auto"/>
              </w:rPr>
            </w:pPr>
          </w:p>
        </w:tc>
        <w:tc>
          <w:tcPr>
            <w:tcW w:w="70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6.0</w:t>
            </w:r>
          </w:p>
        </w:tc>
        <w:tc>
          <w:tcPr>
            <w:tcW w:w="2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6"/>
                <w:szCs w:val="16"/>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66,461</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64,387</w:t>
            </w:r>
          </w:p>
        </w:tc>
        <w:tc>
          <w:tcPr>
            <w:tcW w:w="88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3.2</w:t>
            </w:r>
          </w:p>
        </w:tc>
        <w:tc>
          <w:tcPr>
            <w:tcW w:w="22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BFBFBF"/>
            </w:tcBorders>
            <w:vMerge w:val="continue"/>
            <w:shd w:val="clear" w:color="auto" w:fill="BFBFBF"/>
          </w:tcPr>
          <w:p>
            <w:pPr>
              <w:spacing w:after="0"/>
              <w:rPr>
                <w:sz w:val="15"/>
                <w:szCs w:val="15"/>
                <w:color w:val="auto"/>
              </w:rPr>
            </w:pPr>
          </w:p>
        </w:tc>
        <w:tc>
          <w:tcPr>
            <w:tcW w:w="20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8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Operating Expense</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659,896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614,523</w:t>
            </w:r>
          </w:p>
        </w:tc>
        <w:tc>
          <w:tcPr>
            <w:tcW w:w="100" w:type="dxa"/>
            <w:vAlign w:val="bottom"/>
          </w:tcPr>
          <w:p>
            <w:pPr>
              <w:spacing w:after="0"/>
              <w:rPr>
                <w:sz w:val="15"/>
                <w:szCs w:val="15"/>
                <w:color w:val="auto"/>
              </w:rPr>
            </w:pPr>
          </w:p>
        </w:tc>
        <w:tc>
          <w:tcPr>
            <w:tcW w:w="74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7.4</w:t>
            </w:r>
          </w:p>
        </w:tc>
        <w:tc>
          <w:tcPr>
            <w:tcW w:w="20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677,482</w:t>
            </w:r>
          </w:p>
        </w:tc>
        <w:tc>
          <w:tcPr>
            <w:tcW w:w="80" w:type="dxa"/>
            <w:vAlign w:val="bottom"/>
          </w:tcPr>
          <w:p>
            <w:pPr>
              <w:spacing w:after="0"/>
              <w:rPr>
                <w:sz w:val="15"/>
                <w:szCs w:val="15"/>
                <w:color w:val="auto"/>
              </w:rPr>
            </w:pPr>
          </w:p>
        </w:tc>
        <w:tc>
          <w:tcPr>
            <w:tcW w:w="70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(2.6</w:t>
            </w:r>
          </w:p>
        </w:tc>
        <w:tc>
          <w:tcPr>
            <w:tcW w:w="22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1,337,378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1,288,576</w:t>
            </w:r>
          </w:p>
        </w:tc>
        <w:tc>
          <w:tcPr>
            <w:tcW w:w="880" w:type="dxa"/>
            <w:vAlign w:val="bottom"/>
            <w:tcBorders>
              <w:bottom w:val="single" w:sz="8" w:color="BFBFBF"/>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3.8</w:t>
            </w:r>
          </w:p>
        </w:tc>
        <w:tc>
          <w:tcPr>
            <w:tcW w:w="220" w:type="dxa"/>
            <w:vAlign w:val="bottom"/>
            <w:tcBorders>
              <w:bottom w:val="single" w:sz="8" w:color="BFBFBF"/>
              <w:right w:val="single" w:sz="8" w:color="auto"/>
            </w:tcBorders>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BFBFBF"/>
              <w:right w:val="single" w:sz="8" w:color="auto"/>
            </w:tcBorders>
            <w:gridSpan w:val="2"/>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BFBFBF"/>
              <w:right w:val="single" w:sz="8" w:color="auto"/>
            </w:tcBorders>
            <w:gridSpan w:val="2"/>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100" w:type="dxa"/>
            <w:vAlign w:val="bottom"/>
            <w:tcBorders>
              <w:bottom w:val="single" w:sz="8" w:color="BFBFBF"/>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Operating Profit/(Loss)</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159,507</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194,667</w:t>
            </w:r>
          </w:p>
        </w:tc>
        <w:tc>
          <w:tcPr>
            <w:tcW w:w="100" w:type="dxa"/>
            <w:vAlign w:val="bottom"/>
          </w:tcPr>
          <w:p>
            <w:pPr>
              <w:spacing w:after="0"/>
              <w:rPr>
                <w:sz w:val="15"/>
                <w:szCs w:val="15"/>
                <w:color w:val="auto"/>
              </w:rPr>
            </w:pPr>
          </w:p>
        </w:tc>
        <w:tc>
          <w:tcPr>
            <w:tcW w:w="94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b w:val="1"/>
                <w:bCs w:val="1"/>
                <w:color w:val="auto"/>
              </w:rPr>
              <w:t>(18.1 %)</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215,985</w:t>
            </w:r>
          </w:p>
        </w:tc>
        <w:tc>
          <w:tcPr>
            <w:tcW w:w="80" w:type="dxa"/>
            <w:vAlign w:val="bottom"/>
          </w:tcPr>
          <w:p>
            <w:pPr>
              <w:spacing w:after="0"/>
              <w:rPr>
                <w:sz w:val="15"/>
                <w:szCs w:val="15"/>
                <w:color w:val="auto"/>
              </w:rPr>
            </w:pPr>
          </w:p>
        </w:tc>
        <w:tc>
          <w:tcPr>
            <w:tcW w:w="92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b w:val="1"/>
                <w:bCs w:val="1"/>
                <w:color w:val="auto"/>
              </w:rPr>
              <w:t>(26.1 %)</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375,492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387,878</w:t>
            </w:r>
          </w:p>
        </w:tc>
        <w:tc>
          <w:tcPr>
            <w:tcW w:w="110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b w:val="1"/>
                <w:bCs w:val="1"/>
                <w:color w:val="auto"/>
              </w:rPr>
              <w:t>(3.2 %)</w:t>
            </w:r>
          </w:p>
        </w:tc>
        <w:tc>
          <w:tcPr>
            <w:tcW w:w="0" w:type="dxa"/>
            <w:vAlign w:val="bottom"/>
          </w:tcPr>
          <w:p>
            <w:pPr>
              <w:spacing w:after="0"/>
              <w:rPr>
                <w:sz w:val="1"/>
                <w:szCs w:val="1"/>
                <w:color w:val="auto"/>
              </w:rPr>
            </w:pPr>
          </w:p>
        </w:tc>
      </w:tr>
      <w:tr>
        <w:trPr>
          <w:trHeight w:val="451"/>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Non-operating Income (Expense):</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Finance cost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(20,632)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(30,517)</w:t>
            </w:r>
          </w:p>
        </w:tc>
        <w:tc>
          <w:tcPr>
            <w:tcW w:w="100" w:type="dxa"/>
            <w:vAlign w:val="bottom"/>
          </w:tcPr>
          <w:p>
            <w:pPr>
              <w:spacing w:after="0"/>
              <w:rPr>
                <w:sz w:val="15"/>
                <w:szCs w:val="15"/>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(32.4</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(18,840)</w:t>
            </w:r>
          </w:p>
        </w:tc>
        <w:tc>
          <w:tcPr>
            <w:tcW w:w="80" w:type="dxa"/>
            <w:vAlign w:val="bottom"/>
          </w:tcPr>
          <w:p>
            <w:pPr>
              <w:spacing w:after="0"/>
              <w:rPr>
                <w:sz w:val="15"/>
                <w:szCs w:val="15"/>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9.5</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(39,472)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(54,882)</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(28.1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Finance income</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13,537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11,970</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13.1</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13,746</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(1.5</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27,284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20,812</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31.1</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Gain (loss) on foreign currency fluctuations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(16,097)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3,712</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(533.6</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(3,914)</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311.3</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(20,010)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4,914</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(507.2</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Net change in fair value of derivatives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2,533</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(137,473)</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(101.8</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2,525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(175,406)</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(101.4</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Other non-operating income (expense)</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17"/>
                <w:szCs w:val="17"/>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3"/>
                <w:szCs w:val="13"/>
                <w:color w:val="auto"/>
              </w:rPr>
              <w:t>90.9</w:t>
            </w:r>
          </w:p>
        </w:tc>
        <w:tc>
          <w:tcPr>
            <w:tcW w:w="2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7"/>
                <w:szCs w:val="17"/>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(1679.9</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1,654</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2,160</w:t>
            </w:r>
          </w:p>
        </w:tc>
        <w:tc>
          <w:tcPr>
            <w:tcW w:w="880" w:type="dxa"/>
            <w:vAlign w:val="bottom"/>
            <w:shd w:val="clear" w:color="auto" w:fill="BFBFBF"/>
          </w:tcPr>
          <w:p>
            <w:pPr>
              <w:jc w:val="right"/>
              <w:spacing w:after="0"/>
              <w:rPr>
                <w:sz w:val="20"/>
                <w:szCs w:val="20"/>
                <w:color w:val="auto"/>
              </w:rPr>
            </w:pPr>
            <w:r>
              <w:rPr>
                <w:rFonts w:ascii="Arial" w:cs="Arial" w:eastAsia="Arial" w:hAnsi="Arial"/>
                <w:sz w:val="13"/>
                <w:szCs w:val="13"/>
                <w:color w:val="auto"/>
              </w:rPr>
              <w:t>(23.4</w:t>
            </w:r>
          </w:p>
        </w:tc>
        <w:tc>
          <w:tcPr>
            <w:tcW w:w="22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Total Non-Operating Income/(Expense)</w:t>
            </w: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(87.5</w:t>
            </w:r>
          </w:p>
        </w:tc>
        <w:tc>
          <w:tcPr>
            <w:tcW w:w="20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107.0</w:t>
            </w:r>
          </w:p>
        </w:tc>
        <w:tc>
          <w:tcPr>
            <w:tcW w:w="22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BFBFBF"/>
            </w:tcBorders>
            <w:vMerge w:val="restart"/>
            <w:shd w:val="clear" w:color="auto" w:fill="BFBFBF"/>
          </w:tcPr>
          <w:p>
            <w:pPr>
              <w:jc w:val="right"/>
              <w:spacing w:after="0"/>
              <w:rPr>
                <w:sz w:val="20"/>
                <w:szCs w:val="20"/>
                <w:color w:val="auto"/>
              </w:rPr>
            </w:pPr>
            <w:r>
              <w:rPr>
                <w:rFonts w:ascii="Arial" w:cs="Arial" w:eastAsia="Arial" w:hAnsi="Arial"/>
                <w:sz w:val="13"/>
                <w:szCs w:val="13"/>
                <w:b w:val="1"/>
                <w:bCs w:val="1"/>
                <w:color w:val="auto"/>
              </w:rPr>
              <w:t>(86.2</w:t>
            </w:r>
          </w:p>
        </w:tc>
        <w:tc>
          <w:tcPr>
            <w:tcW w:w="220" w:type="dxa"/>
            <w:vAlign w:val="bottom"/>
            <w:tcBorders>
              <w:bottom w:val="single" w:sz="8" w:color="BFBFBF"/>
              <w:right w:val="single" w:sz="8" w:color="auto"/>
            </w:tcBorders>
            <w:vMerge w:val="restart"/>
            <w:shd w:val="clear" w:color="auto" w:fill="BFBFBF"/>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(18,892)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(151,382)</w:t>
            </w:r>
          </w:p>
        </w:tc>
        <w:tc>
          <w:tcPr>
            <w:tcW w:w="100" w:type="dxa"/>
            <w:vAlign w:val="bottom"/>
          </w:tcPr>
          <w:p>
            <w:pPr>
              <w:spacing w:after="0"/>
              <w:rPr>
                <w:sz w:val="15"/>
                <w:szCs w:val="15"/>
                <w:color w:val="auto"/>
              </w:rPr>
            </w:pPr>
          </w:p>
        </w:tc>
        <w:tc>
          <w:tcPr>
            <w:tcW w:w="740" w:type="dxa"/>
            <w:vAlign w:val="bottom"/>
            <w:tcBorders>
              <w:bottom w:val="single" w:sz="8" w:color="BFBFBF"/>
            </w:tcBorders>
            <w:vMerge w:val="continue"/>
            <w:shd w:val="clear" w:color="auto" w:fill="BFBFBF"/>
          </w:tcPr>
          <w:p>
            <w:pPr>
              <w:spacing w:after="0"/>
              <w:rPr>
                <w:sz w:val="15"/>
                <w:szCs w:val="15"/>
                <w:color w:val="auto"/>
              </w:rPr>
            </w:pPr>
          </w:p>
        </w:tc>
        <w:tc>
          <w:tcPr>
            <w:tcW w:w="20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(9,127)</w:t>
            </w:r>
          </w:p>
        </w:tc>
        <w:tc>
          <w:tcPr>
            <w:tcW w:w="80" w:type="dxa"/>
            <w:vAlign w:val="bottom"/>
          </w:tcPr>
          <w:p>
            <w:pPr>
              <w:spacing w:after="0"/>
              <w:rPr>
                <w:sz w:val="15"/>
                <w:szCs w:val="15"/>
                <w:color w:val="auto"/>
              </w:rPr>
            </w:pPr>
          </w:p>
        </w:tc>
        <w:tc>
          <w:tcPr>
            <w:tcW w:w="70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(28,019)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(202,402)</w:t>
            </w:r>
          </w:p>
        </w:tc>
        <w:tc>
          <w:tcPr>
            <w:tcW w:w="880" w:type="dxa"/>
            <w:vAlign w:val="bottom"/>
            <w:tcBorders>
              <w:bottom w:val="single" w:sz="8" w:color="BFBFBF"/>
            </w:tcBorders>
            <w:vMerge w:val="continue"/>
            <w:shd w:val="clear" w:color="auto" w:fill="BFBFBF"/>
          </w:tcPr>
          <w:p>
            <w:pPr>
              <w:spacing w:after="0"/>
              <w:rPr>
                <w:sz w:val="15"/>
                <w:szCs w:val="15"/>
                <w:color w:val="auto"/>
              </w:rPr>
            </w:pPr>
          </w:p>
        </w:tc>
        <w:tc>
          <w:tcPr>
            <w:tcW w:w="220" w:type="dxa"/>
            <w:vAlign w:val="bottom"/>
            <w:tcBorders>
              <w:bottom w:val="single" w:sz="8" w:color="BFBFBF"/>
              <w:right w:val="single" w:sz="8" w:color="auto"/>
            </w:tcBorders>
            <w:vMerge w:val="continue"/>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BFBFBF"/>
              <w:right w:val="single" w:sz="8" w:color="auto"/>
            </w:tcBorders>
            <w:gridSpan w:val="2"/>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BFBFBF"/>
              <w:right w:val="single" w:sz="8" w:color="auto"/>
            </w:tcBorders>
            <w:gridSpan w:val="2"/>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100" w:type="dxa"/>
            <w:vAlign w:val="bottom"/>
            <w:tcBorders>
              <w:bottom w:val="single" w:sz="8" w:color="BFBFBF"/>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Profit before taxes</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140,615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43,284</w:t>
            </w:r>
          </w:p>
        </w:tc>
        <w:tc>
          <w:tcPr>
            <w:tcW w:w="100" w:type="dxa"/>
            <w:vAlign w:val="bottom"/>
          </w:tcPr>
          <w:p>
            <w:pPr>
              <w:spacing w:after="0"/>
              <w:rPr>
                <w:sz w:val="15"/>
                <w:szCs w:val="15"/>
                <w:color w:val="auto"/>
              </w:rPr>
            </w:pPr>
          </w:p>
        </w:tc>
        <w:tc>
          <w:tcPr>
            <w:tcW w:w="940" w:type="dxa"/>
            <w:vAlign w:val="bottom"/>
            <w:tcBorders>
              <w:bottom w:val="single" w:sz="8" w:color="BFBFBF"/>
              <w:right w:val="single" w:sz="8" w:color="auto"/>
            </w:tcBorders>
            <w:gridSpan w:val="2"/>
            <w:shd w:val="clear" w:color="auto" w:fill="BFBFBF"/>
          </w:tcPr>
          <w:p>
            <w:pPr>
              <w:jc w:val="right"/>
              <w:ind w:right="17"/>
              <w:spacing w:after="0"/>
              <w:rPr>
                <w:sz w:val="20"/>
                <w:szCs w:val="20"/>
                <w:color w:val="auto"/>
              </w:rPr>
            </w:pPr>
            <w:r>
              <w:rPr>
                <w:rFonts w:ascii="Arial" w:cs="Arial" w:eastAsia="Arial" w:hAnsi="Arial"/>
                <w:sz w:val="13"/>
                <w:szCs w:val="13"/>
                <w:b w:val="1"/>
                <w:bCs w:val="1"/>
                <w:color w:val="auto"/>
              </w:rPr>
              <w:t>224.9 %</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206,858</w:t>
            </w:r>
          </w:p>
        </w:tc>
        <w:tc>
          <w:tcPr>
            <w:tcW w:w="80" w:type="dxa"/>
            <w:vAlign w:val="bottom"/>
          </w:tcPr>
          <w:p>
            <w:pPr>
              <w:spacing w:after="0"/>
              <w:rPr>
                <w:sz w:val="15"/>
                <w:szCs w:val="15"/>
                <w:color w:val="auto"/>
              </w:rPr>
            </w:pPr>
          </w:p>
        </w:tc>
        <w:tc>
          <w:tcPr>
            <w:tcW w:w="92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b w:val="1"/>
                <w:bCs w:val="1"/>
                <w:color w:val="auto"/>
              </w:rPr>
              <w:t>(32.0 %)</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347,472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185,476</w:t>
            </w:r>
          </w:p>
        </w:tc>
        <w:tc>
          <w:tcPr>
            <w:tcW w:w="1100" w:type="dxa"/>
            <w:vAlign w:val="bottom"/>
            <w:tcBorders>
              <w:bottom w:val="single" w:sz="8" w:color="BFBFBF"/>
              <w:right w:val="single" w:sz="8" w:color="auto"/>
            </w:tcBorders>
            <w:gridSpan w:val="2"/>
            <w:shd w:val="clear" w:color="auto" w:fill="BFBFBF"/>
          </w:tcPr>
          <w:p>
            <w:pPr>
              <w:jc w:val="right"/>
              <w:ind w:right="37"/>
              <w:spacing w:after="0"/>
              <w:rPr>
                <w:sz w:val="20"/>
                <w:szCs w:val="20"/>
                <w:color w:val="auto"/>
              </w:rPr>
            </w:pPr>
            <w:r>
              <w:rPr>
                <w:rFonts w:ascii="Arial" w:cs="Arial" w:eastAsia="Arial" w:hAnsi="Arial"/>
                <w:sz w:val="13"/>
                <w:szCs w:val="13"/>
                <w:b w:val="1"/>
                <w:bCs w:val="1"/>
                <w:color w:val="auto"/>
              </w:rPr>
              <w:t>87.3 %</w:t>
            </w: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right w:val="single" w:sz="8" w:color="auto"/>
            </w:tcBorders>
            <w:gridSpan w:val="2"/>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right w:val="single" w:sz="8" w:color="auto"/>
            </w:tcBorders>
            <w:gridSpan w:val="2"/>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Borders>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Income tax expense</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(20,362)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(25,775)</w:t>
            </w:r>
          </w:p>
        </w:tc>
        <w:tc>
          <w:tcPr>
            <w:tcW w:w="100" w:type="dxa"/>
            <w:vAlign w:val="bottom"/>
          </w:tcPr>
          <w:p>
            <w:pPr>
              <w:spacing w:after="0"/>
              <w:rPr>
                <w:sz w:val="15"/>
                <w:szCs w:val="15"/>
                <w:color w:val="auto"/>
              </w:rPr>
            </w:pPr>
          </w:p>
        </w:tc>
        <w:tc>
          <w:tcPr>
            <w:tcW w:w="94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color w:val="auto"/>
              </w:rPr>
              <w:t>(21.0 %)</w:t>
            </w:r>
          </w:p>
        </w:tc>
        <w:tc>
          <w:tcPr>
            <w:tcW w:w="1000" w:type="dxa"/>
            <w:vAlign w:val="bottom"/>
          </w:tcPr>
          <w:p>
            <w:pPr>
              <w:jc w:val="right"/>
              <w:spacing w:after="0"/>
              <w:rPr>
                <w:sz w:val="20"/>
                <w:szCs w:val="20"/>
                <w:color w:val="auto"/>
              </w:rPr>
            </w:pPr>
            <w:r>
              <w:rPr>
                <w:rFonts w:ascii="Arial" w:cs="Arial" w:eastAsia="Arial" w:hAnsi="Arial"/>
                <w:sz w:val="13"/>
                <w:szCs w:val="13"/>
                <w:color w:val="auto"/>
              </w:rPr>
              <w:t>(30,792)</w:t>
            </w:r>
          </w:p>
        </w:tc>
        <w:tc>
          <w:tcPr>
            <w:tcW w:w="80" w:type="dxa"/>
            <w:vAlign w:val="bottom"/>
          </w:tcPr>
          <w:p>
            <w:pPr>
              <w:spacing w:after="0"/>
              <w:rPr>
                <w:sz w:val="15"/>
                <w:szCs w:val="15"/>
                <w:color w:val="auto"/>
              </w:rPr>
            </w:pPr>
          </w:p>
        </w:tc>
        <w:tc>
          <w:tcPr>
            <w:tcW w:w="92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color w:val="auto"/>
              </w:rPr>
              <w:t>(33.9 %)</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(51,154)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(46,447)</w:t>
            </w:r>
          </w:p>
        </w:tc>
        <w:tc>
          <w:tcPr>
            <w:tcW w:w="1100" w:type="dxa"/>
            <w:vAlign w:val="bottom"/>
            <w:tcBorders>
              <w:bottom w:val="single" w:sz="8" w:color="BFBFBF"/>
              <w:right w:val="single" w:sz="8" w:color="auto"/>
            </w:tcBorders>
            <w:gridSpan w:val="2"/>
            <w:shd w:val="clear" w:color="auto" w:fill="BFBFBF"/>
          </w:tcPr>
          <w:p>
            <w:pPr>
              <w:jc w:val="right"/>
              <w:ind w:right="37"/>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BFBFBF"/>
              <w:right w:val="single" w:sz="8" w:color="auto"/>
            </w:tcBorders>
            <w:gridSpan w:val="2"/>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BFBFBF"/>
              <w:right w:val="single" w:sz="8" w:color="auto"/>
            </w:tcBorders>
            <w:gridSpan w:val="2"/>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100" w:type="dxa"/>
            <w:vAlign w:val="bottom"/>
            <w:tcBorders>
              <w:bottom w:val="single" w:sz="8" w:color="BFBFBF"/>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Net Profit/(Loss)</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120,253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17,509</w:t>
            </w:r>
          </w:p>
        </w:tc>
        <w:tc>
          <w:tcPr>
            <w:tcW w:w="100" w:type="dxa"/>
            <w:vAlign w:val="bottom"/>
          </w:tcPr>
          <w:p>
            <w:pPr>
              <w:spacing w:after="0"/>
              <w:rPr>
                <w:sz w:val="15"/>
                <w:szCs w:val="15"/>
                <w:color w:val="auto"/>
              </w:rPr>
            </w:pPr>
          </w:p>
        </w:tc>
        <w:tc>
          <w:tcPr>
            <w:tcW w:w="940" w:type="dxa"/>
            <w:vAlign w:val="bottom"/>
            <w:tcBorders>
              <w:bottom w:val="single" w:sz="8" w:color="BFBFBF"/>
              <w:right w:val="single" w:sz="8" w:color="auto"/>
            </w:tcBorders>
            <w:gridSpan w:val="2"/>
            <w:shd w:val="clear" w:color="auto" w:fill="BFBFBF"/>
          </w:tcPr>
          <w:p>
            <w:pPr>
              <w:jc w:val="right"/>
              <w:ind w:right="17"/>
              <w:spacing w:after="0"/>
              <w:rPr>
                <w:sz w:val="20"/>
                <w:szCs w:val="20"/>
                <w:color w:val="auto"/>
              </w:rPr>
            </w:pPr>
            <w:r>
              <w:rPr>
                <w:rFonts w:ascii="Arial" w:cs="Arial" w:eastAsia="Arial" w:hAnsi="Arial"/>
                <w:sz w:val="13"/>
                <w:szCs w:val="13"/>
                <w:b w:val="1"/>
                <w:bCs w:val="1"/>
                <w:color w:val="auto"/>
              </w:rPr>
              <w:t>586.8 %</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176,066</w:t>
            </w:r>
          </w:p>
        </w:tc>
        <w:tc>
          <w:tcPr>
            <w:tcW w:w="80" w:type="dxa"/>
            <w:vAlign w:val="bottom"/>
          </w:tcPr>
          <w:p>
            <w:pPr>
              <w:spacing w:after="0"/>
              <w:rPr>
                <w:sz w:val="15"/>
                <w:szCs w:val="15"/>
                <w:color w:val="auto"/>
              </w:rPr>
            </w:pPr>
          </w:p>
        </w:tc>
        <w:tc>
          <w:tcPr>
            <w:tcW w:w="920" w:type="dxa"/>
            <w:vAlign w:val="bottom"/>
            <w:tcBorders>
              <w:bottom w:val="single" w:sz="8" w:color="BFBFBF"/>
              <w:right w:val="single" w:sz="8" w:color="auto"/>
            </w:tcBorders>
            <w:gridSpan w:val="2"/>
            <w:shd w:val="clear" w:color="auto" w:fill="BFBFBF"/>
          </w:tcPr>
          <w:p>
            <w:pPr>
              <w:jc w:val="right"/>
              <w:spacing w:after="0"/>
              <w:rPr>
                <w:sz w:val="20"/>
                <w:szCs w:val="20"/>
                <w:color w:val="auto"/>
              </w:rPr>
            </w:pPr>
            <w:r>
              <w:rPr>
                <w:rFonts w:ascii="Arial" w:cs="Arial" w:eastAsia="Arial" w:hAnsi="Arial"/>
                <w:sz w:val="13"/>
                <w:szCs w:val="13"/>
                <w:b w:val="1"/>
                <w:bCs w:val="1"/>
                <w:color w:val="auto"/>
              </w:rPr>
              <w:t>(31.7 %)</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296,318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139,030</w:t>
            </w:r>
          </w:p>
        </w:tc>
        <w:tc>
          <w:tcPr>
            <w:tcW w:w="1100" w:type="dxa"/>
            <w:vAlign w:val="bottom"/>
            <w:tcBorders>
              <w:bottom w:val="single" w:sz="8" w:color="BFBFBF"/>
              <w:right w:val="single" w:sz="8" w:color="auto"/>
            </w:tcBorders>
            <w:gridSpan w:val="2"/>
            <w:shd w:val="clear" w:color="auto" w:fill="BFBFBF"/>
          </w:tcPr>
          <w:p>
            <w:pPr>
              <w:jc w:val="right"/>
              <w:ind w:right="37"/>
              <w:spacing w:after="0"/>
              <w:rPr>
                <w:sz w:val="20"/>
                <w:szCs w:val="20"/>
                <w:color w:val="auto"/>
              </w:rPr>
            </w:pPr>
            <w:r>
              <w:rPr>
                <w:rFonts w:ascii="Arial" w:cs="Arial" w:eastAsia="Arial" w:hAnsi="Arial"/>
                <w:sz w:val="13"/>
                <w:szCs w:val="13"/>
                <w:b w:val="1"/>
                <w:bCs w:val="1"/>
                <w:color w:val="auto"/>
              </w:rPr>
              <w:t>113.1 %</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00"/>
          </w:cols>
          <w:pgMar w:left="320" w:top="1440" w:right="4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5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553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2760" w:type="dxa"/>
            <w:vAlign w:val="bottom"/>
          </w:tcPr>
          <w:p>
            <w:pPr>
              <w:jc w:val="right"/>
              <w:ind w:right="617"/>
              <w:spacing w:after="0"/>
              <w:rPr>
                <w:sz w:val="20"/>
                <w:szCs w:val="20"/>
                <w:color w:val="auto"/>
              </w:rPr>
            </w:pPr>
            <w:r>
              <w:rPr>
                <w:rFonts w:ascii="Arial" w:cs="Arial" w:eastAsia="Arial" w:hAnsi="Arial"/>
                <w:sz w:val="13"/>
                <w:szCs w:val="13"/>
                <w:b w:val="1"/>
                <w:bCs w:val="1"/>
                <w:color w:val="auto"/>
              </w:rPr>
              <w:t>June 2024</w:t>
            </w:r>
          </w:p>
        </w:tc>
        <w:tc>
          <w:tcPr>
            <w:tcW w:w="1580" w:type="dxa"/>
            <w:vAlign w:val="bottom"/>
          </w:tcPr>
          <w:p>
            <w:pPr>
              <w:jc w:val="right"/>
              <w:ind w:right="337"/>
              <w:spacing w:after="0"/>
              <w:rPr>
                <w:sz w:val="20"/>
                <w:szCs w:val="20"/>
                <w:color w:val="auto"/>
              </w:rPr>
            </w:pPr>
            <w:r>
              <w:rPr>
                <w:rFonts w:ascii="Arial" w:cs="Arial" w:eastAsia="Arial" w:hAnsi="Arial"/>
                <w:sz w:val="13"/>
                <w:szCs w:val="13"/>
                <w:b w:val="1"/>
                <w:bCs w:val="1"/>
                <w:color w:val="auto"/>
              </w:rPr>
              <w:t>December 2023</w:t>
            </w:r>
          </w:p>
        </w:tc>
      </w:tr>
      <w:tr>
        <w:trPr>
          <w:trHeight w:val="189"/>
        </w:trPr>
        <w:tc>
          <w:tcPr>
            <w:tcW w:w="5000" w:type="dxa"/>
            <w:vAlign w:val="bottom"/>
          </w:tcPr>
          <w:p>
            <w:pPr>
              <w:jc w:val="center"/>
              <w:ind w:left="897"/>
              <w:spacing w:after="0"/>
              <w:rPr>
                <w:sz w:val="20"/>
                <w:szCs w:val="20"/>
                <w:color w:val="auto"/>
              </w:rPr>
            </w:pPr>
            <w:r>
              <w:rPr>
                <w:rFonts w:ascii="Arial" w:cs="Arial" w:eastAsia="Arial" w:hAnsi="Arial"/>
                <w:sz w:val="13"/>
                <w:szCs w:val="13"/>
                <w:b w:val="1"/>
                <w:bCs w:val="1"/>
                <w:color w:val="auto"/>
                <w:w w:val="99"/>
              </w:rPr>
              <w:t>ASSETS</w:t>
            </w:r>
          </w:p>
        </w:tc>
        <w:tc>
          <w:tcPr>
            <w:tcW w:w="2760" w:type="dxa"/>
            <w:vAlign w:val="bottom"/>
          </w:tcPr>
          <w:p>
            <w:pPr>
              <w:jc w:val="right"/>
              <w:ind w:right="557"/>
              <w:spacing w:after="0"/>
              <w:rPr>
                <w:sz w:val="20"/>
                <w:szCs w:val="20"/>
                <w:color w:val="auto"/>
              </w:rPr>
            </w:pPr>
            <w:r>
              <w:rPr>
                <w:rFonts w:ascii="Arial" w:cs="Arial" w:eastAsia="Arial" w:hAnsi="Arial"/>
                <w:sz w:val="13"/>
                <w:szCs w:val="13"/>
                <w:b w:val="1"/>
                <w:bCs w:val="1"/>
                <w:color w:val="auto"/>
              </w:rPr>
              <w:t>(Unaudited)</w:t>
            </w:r>
          </w:p>
        </w:tc>
        <w:tc>
          <w:tcPr>
            <w:tcW w:w="1580" w:type="dxa"/>
            <w:vAlign w:val="bottom"/>
          </w:tcPr>
          <w:p>
            <w:pPr>
              <w:jc w:val="right"/>
              <w:ind w:right="517"/>
              <w:spacing w:after="0"/>
              <w:rPr>
                <w:sz w:val="20"/>
                <w:szCs w:val="20"/>
                <w:color w:val="auto"/>
              </w:rPr>
            </w:pPr>
            <w:r>
              <w:rPr>
                <w:rFonts w:ascii="Arial" w:cs="Arial" w:eastAsia="Arial" w:hAnsi="Arial"/>
                <w:sz w:val="13"/>
                <w:szCs w:val="13"/>
                <w:b w:val="1"/>
                <w:bCs w:val="1"/>
                <w:color w:val="auto"/>
              </w:rPr>
              <w:t>(Audited)</w:t>
            </w:r>
          </w:p>
        </w:tc>
      </w:tr>
      <w:tr>
        <w:trPr>
          <w:trHeight w:val="197"/>
        </w:trPr>
        <w:tc>
          <w:tcPr>
            <w:tcW w:w="5000" w:type="dxa"/>
            <w:vAlign w:val="bottom"/>
          </w:tcPr>
          <w:p>
            <w:pPr>
              <w:ind w:left="260"/>
              <w:spacing w:after="0"/>
              <w:rPr>
                <w:sz w:val="20"/>
                <w:szCs w:val="20"/>
                <w:color w:val="auto"/>
              </w:rPr>
            </w:pPr>
            <w:r>
              <w:rPr>
                <w:rFonts w:ascii="Arial" w:cs="Arial" w:eastAsia="Arial" w:hAnsi="Arial"/>
                <w:sz w:val="13"/>
                <w:szCs w:val="13"/>
                <w:color w:val="auto"/>
              </w:rPr>
              <w:t>Cash and cash equivalents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200,635</w:t>
            </w:r>
          </w:p>
        </w:tc>
        <w:tc>
          <w:tcPr>
            <w:tcW w:w="1580" w:type="dxa"/>
            <w:vAlign w:val="bottom"/>
          </w:tcPr>
          <w:p>
            <w:pPr>
              <w:jc w:val="right"/>
              <w:spacing w:after="0"/>
              <w:rPr>
                <w:sz w:val="20"/>
                <w:szCs w:val="20"/>
                <w:color w:val="auto"/>
              </w:rPr>
            </w:pPr>
            <w:r>
              <w:rPr>
                <w:rFonts w:ascii="Arial" w:cs="Arial" w:eastAsia="Arial" w:hAnsi="Arial"/>
                <w:sz w:val="13"/>
                <w:szCs w:val="13"/>
                <w:color w:val="auto"/>
              </w:rPr>
              <w:t>206,375</w:t>
            </w:r>
          </w:p>
        </w:tc>
      </w:tr>
      <w:tr>
        <w:trPr>
          <w:trHeight w:val="202"/>
        </w:trPr>
        <w:tc>
          <w:tcPr>
            <w:tcW w:w="5000" w:type="dxa"/>
            <w:vAlign w:val="bottom"/>
          </w:tcPr>
          <w:p>
            <w:pPr>
              <w:ind w:left="260"/>
              <w:spacing w:after="0"/>
              <w:rPr>
                <w:sz w:val="20"/>
                <w:szCs w:val="20"/>
                <w:color w:val="auto"/>
              </w:rPr>
            </w:pPr>
            <w:r>
              <w:rPr>
                <w:rFonts w:ascii="Arial" w:cs="Arial" w:eastAsia="Arial" w:hAnsi="Arial"/>
                <w:sz w:val="13"/>
                <w:szCs w:val="13"/>
                <w:color w:val="auto"/>
              </w:rPr>
              <w:t>Short-term investments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748,239</w:t>
            </w:r>
          </w:p>
        </w:tc>
        <w:tc>
          <w:tcPr>
            <w:tcW w:w="1580" w:type="dxa"/>
            <w:vAlign w:val="bottom"/>
          </w:tcPr>
          <w:p>
            <w:pPr>
              <w:jc w:val="right"/>
              <w:spacing w:after="0"/>
              <w:rPr>
                <w:sz w:val="20"/>
                <w:szCs w:val="20"/>
                <w:color w:val="auto"/>
              </w:rPr>
            </w:pPr>
            <w:r>
              <w:rPr>
                <w:rFonts w:ascii="Arial" w:cs="Arial" w:eastAsia="Arial" w:hAnsi="Arial"/>
                <w:sz w:val="13"/>
                <w:szCs w:val="13"/>
                <w:color w:val="auto"/>
              </w:rPr>
              <w:t>708,809</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5"/>
        </w:trPr>
        <w:tc>
          <w:tcPr>
            <w:tcW w:w="5000" w:type="dxa"/>
            <w:vAlign w:val="bottom"/>
          </w:tcPr>
          <w:p>
            <w:pPr>
              <w:ind w:left="180"/>
              <w:spacing w:after="0"/>
              <w:rPr>
                <w:sz w:val="20"/>
                <w:szCs w:val="20"/>
                <w:color w:val="auto"/>
              </w:rPr>
            </w:pPr>
            <w:r>
              <w:rPr>
                <w:rFonts w:ascii="Arial" w:cs="Arial" w:eastAsia="Arial" w:hAnsi="Arial"/>
                <w:sz w:val="13"/>
                <w:szCs w:val="13"/>
                <w:b w:val="1"/>
                <w:bCs w:val="1"/>
                <w:color w:val="auto"/>
              </w:rPr>
              <w:t>Total cash, cash equivalents and short-term investments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948,874</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915,184</w:t>
            </w:r>
          </w:p>
        </w:tc>
      </w:tr>
      <w:tr>
        <w:trPr>
          <w:trHeight w:val="197"/>
        </w:trPr>
        <w:tc>
          <w:tcPr>
            <w:tcW w:w="5000" w:type="dxa"/>
            <w:vAlign w:val="bottom"/>
          </w:tcPr>
          <w:p>
            <w:pPr>
              <w:ind w:left="260"/>
              <w:spacing w:after="0"/>
              <w:rPr>
                <w:sz w:val="20"/>
                <w:szCs w:val="20"/>
                <w:color w:val="auto"/>
              </w:rPr>
            </w:pPr>
            <w:r>
              <w:rPr>
                <w:rFonts w:ascii="Arial" w:cs="Arial" w:eastAsia="Arial" w:hAnsi="Arial"/>
                <w:sz w:val="13"/>
                <w:szCs w:val="13"/>
                <w:color w:val="auto"/>
              </w:rPr>
              <w:t>Accounts receivable, net</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186,902</w:t>
            </w:r>
          </w:p>
        </w:tc>
        <w:tc>
          <w:tcPr>
            <w:tcW w:w="1580" w:type="dxa"/>
            <w:vAlign w:val="bottom"/>
          </w:tcPr>
          <w:p>
            <w:pPr>
              <w:jc w:val="right"/>
              <w:spacing w:after="0"/>
              <w:rPr>
                <w:sz w:val="20"/>
                <w:szCs w:val="20"/>
                <w:color w:val="auto"/>
              </w:rPr>
            </w:pPr>
            <w:r>
              <w:rPr>
                <w:rFonts w:ascii="Arial" w:cs="Arial" w:eastAsia="Arial" w:hAnsi="Arial"/>
                <w:sz w:val="13"/>
                <w:szCs w:val="13"/>
                <w:color w:val="auto"/>
              </w:rPr>
              <w:t>156,720</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Accounts receivable from related parties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2,637</w:t>
            </w:r>
          </w:p>
        </w:tc>
        <w:tc>
          <w:tcPr>
            <w:tcW w:w="1580" w:type="dxa"/>
            <w:vAlign w:val="bottom"/>
          </w:tcPr>
          <w:p>
            <w:pPr>
              <w:jc w:val="right"/>
              <w:spacing w:after="0"/>
              <w:rPr>
                <w:sz w:val="20"/>
                <w:szCs w:val="20"/>
                <w:color w:val="auto"/>
              </w:rPr>
            </w:pPr>
            <w:r>
              <w:rPr>
                <w:rFonts w:ascii="Arial" w:cs="Arial" w:eastAsia="Arial" w:hAnsi="Arial"/>
                <w:sz w:val="13"/>
                <w:szCs w:val="13"/>
                <w:color w:val="auto"/>
              </w:rPr>
              <w:t>2,527</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Expendable parts and supplies, net</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116,578</w:t>
            </w:r>
          </w:p>
        </w:tc>
        <w:tc>
          <w:tcPr>
            <w:tcW w:w="1580" w:type="dxa"/>
            <w:vAlign w:val="bottom"/>
          </w:tcPr>
          <w:p>
            <w:pPr>
              <w:jc w:val="right"/>
              <w:spacing w:after="0"/>
              <w:rPr>
                <w:sz w:val="20"/>
                <w:szCs w:val="20"/>
                <w:color w:val="auto"/>
              </w:rPr>
            </w:pPr>
            <w:r>
              <w:rPr>
                <w:rFonts w:ascii="Arial" w:cs="Arial" w:eastAsia="Arial" w:hAnsi="Arial"/>
                <w:sz w:val="13"/>
                <w:szCs w:val="13"/>
                <w:color w:val="auto"/>
              </w:rPr>
              <w:t>116,604</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44,134</w:t>
            </w:r>
          </w:p>
        </w:tc>
        <w:tc>
          <w:tcPr>
            <w:tcW w:w="1580" w:type="dxa"/>
            <w:vAlign w:val="bottom"/>
          </w:tcPr>
          <w:p>
            <w:pPr>
              <w:jc w:val="right"/>
              <w:spacing w:after="0"/>
              <w:rPr>
                <w:sz w:val="20"/>
                <w:szCs w:val="20"/>
                <w:color w:val="auto"/>
              </w:rPr>
            </w:pPr>
            <w:r>
              <w:rPr>
                <w:rFonts w:ascii="Arial" w:cs="Arial" w:eastAsia="Arial" w:hAnsi="Arial"/>
                <w:sz w:val="13"/>
                <w:szCs w:val="13"/>
                <w:color w:val="auto"/>
              </w:rPr>
              <w:t>44,635</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Prepaid income tax</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98</w:t>
            </w:r>
          </w:p>
        </w:tc>
        <w:tc>
          <w:tcPr>
            <w:tcW w:w="15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Other current assets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21,375</w:t>
            </w:r>
          </w:p>
        </w:tc>
        <w:tc>
          <w:tcPr>
            <w:tcW w:w="1580" w:type="dxa"/>
            <w:vAlign w:val="bottom"/>
          </w:tcPr>
          <w:p>
            <w:pPr>
              <w:jc w:val="right"/>
              <w:spacing w:after="0"/>
              <w:rPr>
                <w:sz w:val="20"/>
                <w:szCs w:val="20"/>
                <w:color w:val="auto"/>
              </w:rPr>
            </w:pPr>
            <w:r>
              <w:rPr>
                <w:rFonts w:ascii="Arial" w:cs="Arial" w:eastAsia="Arial" w:hAnsi="Arial"/>
                <w:sz w:val="13"/>
                <w:szCs w:val="13"/>
                <w:color w:val="auto"/>
              </w:rPr>
              <w:t>32,227</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4"/>
        </w:trPr>
        <w:tc>
          <w:tcPr>
            <w:tcW w:w="5000" w:type="dxa"/>
            <w:vAlign w:val="bottom"/>
          </w:tcPr>
          <w:p>
            <w:pPr>
              <w:spacing w:after="0"/>
              <w:rPr>
                <w:sz w:val="15"/>
                <w:szCs w:val="15"/>
                <w:color w:val="auto"/>
              </w:rPr>
            </w:pP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371,723</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352,780</w:t>
            </w: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3"/>
                <w:szCs w:val="13"/>
                <w:b w:val="1"/>
                <w:bCs w:val="1"/>
                <w:color w:val="auto"/>
              </w:rPr>
              <w:t>TOTAL CURRENT ASSETS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1,320,598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1,267,963</w:t>
            </w:r>
          </w:p>
        </w:tc>
      </w:tr>
      <w:tr>
        <w:trPr>
          <w:trHeight w:val="197"/>
        </w:trPr>
        <w:tc>
          <w:tcPr>
            <w:tcW w:w="5000" w:type="dxa"/>
            <w:vAlign w:val="bottom"/>
          </w:tcPr>
          <w:p>
            <w:pPr>
              <w:ind w:left="180"/>
              <w:spacing w:after="0"/>
              <w:rPr>
                <w:sz w:val="20"/>
                <w:szCs w:val="20"/>
                <w:color w:val="auto"/>
              </w:rPr>
            </w:pPr>
            <w:r>
              <w:rPr>
                <w:rFonts w:ascii="Arial" w:cs="Arial" w:eastAsia="Arial" w:hAnsi="Arial"/>
                <w:sz w:val="13"/>
                <w:szCs w:val="13"/>
                <w:color w:val="auto"/>
              </w:rPr>
              <w:t>Long-term investments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258,379</w:t>
            </w:r>
          </w:p>
        </w:tc>
        <w:tc>
          <w:tcPr>
            <w:tcW w:w="1580" w:type="dxa"/>
            <w:vAlign w:val="bottom"/>
          </w:tcPr>
          <w:p>
            <w:pPr>
              <w:jc w:val="right"/>
              <w:spacing w:after="0"/>
              <w:rPr>
                <w:sz w:val="20"/>
                <w:szCs w:val="20"/>
                <w:color w:val="auto"/>
              </w:rPr>
            </w:pPr>
            <w:r>
              <w:rPr>
                <w:rFonts w:ascii="Arial" w:cs="Arial" w:eastAsia="Arial" w:hAnsi="Arial"/>
                <w:sz w:val="13"/>
                <w:szCs w:val="13"/>
                <w:color w:val="auto"/>
              </w:rPr>
              <w:t>258,934</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Long-term prepaid expenses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7,766</w:t>
            </w:r>
          </w:p>
        </w:tc>
        <w:tc>
          <w:tcPr>
            <w:tcW w:w="1580" w:type="dxa"/>
            <w:vAlign w:val="bottom"/>
          </w:tcPr>
          <w:p>
            <w:pPr>
              <w:jc w:val="right"/>
              <w:spacing w:after="0"/>
              <w:rPr>
                <w:sz w:val="20"/>
                <w:szCs w:val="20"/>
                <w:color w:val="auto"/>
              </w:rPr>
            </w:pPr>
            <w:r>
              <w:rPr>
                <w:rFonts w:ascii="Arial" w:cs="Arial" w:eastAsia="Arial" w:hAnsi="Arial"/>
                <w:sz w:val="13"/>
                <w:szCs w:val="13"/>
                <w:color w:val="auto"/>
              </w:rPr>
              <w:t>9,633</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Property and equipment, net</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3,326,243</w:t>
            </w:r>
          </w:p>
        </w:tc>
        <w:tc>
          <w:tcPr>
            <w:tcW w:w="1580" w:type="dxa"/>
            <w:vAlign w:val="bottom"/>
          </w:tcPr>
          <w:p>
            <w:pPr>
              <w:jc w:val="right"/>
              <w:spacing w:after="0"/>
              <w:rPr>
                <w:sz w:val="20"/>
                <w:szCs w:val="20"/>
                <w:color w:val="auto"/>
              </w:rPr>
            </w:pPr>
            <w:r>
              <w:rPr>
                <w:rFonts w:ascii="Arial" w:cs="Arial" w:eastAsia="Arial" w:hAnsi="Arial"/>
                <w:sz w:val="13"/>
                <w:szCs w:val="13"/>
                <w:color w:val="auto"/>
              </w:rPr>
              <w:t>3,238,632</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Right of use assets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341,009</w:t>
            </w:r>
          </w:p>
        </w:tc>
        <w:tc>
          <w:tcPr>
            <w:tcW w:w="1580" w:type="dxa"/>
            <w:vAlign w:val="bottom"/>
          </w:tcPr>
          <w:p>
            <w:pPr>
              <w:jc w:val="right"/>
              <w:spacing w:after="0"/>
              <w:rPr>
                <w:sz w:val="20"/>
                <w:szCs w:val="20"/>
                <w:color w:val="auto"/>
              </w:rPr>
            </w:pPr>
            <w:r>
              <w:rPr>
                <w:rFonts w:ascii="Arial" w:cs="Arial" w:eastAsia="Arial" w:hAnsi="Arial"/>
                <w:sz w:val="13"/>
                <w:szCs w:val="13"/>
                <w:color w:val="auto"/>
              </w:rPr>
              <w:t>281,146</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Intangible, net</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92,715</w:t>
            </w:r>
          </w:p>
        </w:tc>
        <w:tc>
          <w:tcPr>
            <w:tcW w:w="1580" w:type="dxa"/>
            <w:vAlign w:val="bottom"/>
          </w:tcPr>
          <w:p>
            <w:pPr>
              <w:jc w:val="right"/>
              <w:spacing w:after="0"/>
              <w:rPr>
                <w:sz w:val="20"/>
                <w:szCs w:val="20"/>
                <w:color w:val="auto"/>
              </w:rPr>
            </w:pPr>
            <w:r>
              <w:rPr>
                <w:rFonts w:ascii="Arial" w:cs="Arial" w:eastAsia="Arial" w:hAnsi="Arial"/>
                <w:sz w:val="13"/>
                <w:szCs w:val="13"/>
                <w:color w:val="auto"/>
              </w:rPr>
              <w:t>87,986</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Net defined benefit assets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6,204</w:t>
            </w:r>
          </w:p>
        </w:tc>
        <w:tc>
          <w:tcPr>
            <w:tcW w:w="1580" w:type="dxa"/>
            <w:vAlign w:val="bottom"/>
          </w:tcPr>
          <w:p>
            <w:pPr>
              <w:jc w:val="right"/>
              <w:spacing w:after="0"/>
              <w:rPr>
                <w:sz w:val="20"/>
                <w:szCs w:val="20"/>
                <w:color w:val="auto"/>
              </w:rPr>
            </w:pPr>
            <w:r>
              <w:rPr>
                <w:rFonts w:ascii="Arial" w:cs="Arial" w:eastAsia="Arial" w:hAnsi="Arial"/>
                <w:sz w:val="13"/>
                <w:szCs w:val="13"/>
                <w:color w:val="auto"/>
              </w:rPr>
              <w:t>5,346</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Deferred tax assets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21,497</w:t>
            </w:r>
          </w:p>
        </w:tc>
        <w:tc>
          <w:tcPr>
            <w:tcW w:w="1580" w:type="dxa"/>
            <w:vAlign w:val="bottom"/>
          </w:tcPr>
          <w:p>
            <w:pPr>
              <w:jc w:val="right"/>
              <w:spacing w:after="0"/>
              <w:rPr>
                <w:sz w:val="20"/>
                <w:szCs w:val="20"/>
                <w:color w:val="auto"/>
              </w:rPr>
            </w:pPr>
            <w:r>
              <w:rPr>
                <w:rFonts w:ascii="Arial" w:cs="Arial" w:eastAsia="Arial" w:hAnsi="Arial"/>
                <w:sz w:val="13"/>
                <w:szCs w:val="13"/>
                <w:color w:val="auto"/>
              </w:rPr>
              <w:t>30,148</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Other Non-Current Assets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16,821</w:t>
            </w:r>
          </w:p>
        </w:tc>
        <w:tc>
          <w:tcPr>
            <w:tcW w:w="1580" w:type="dxa"/>
            <w:vAlign w:val="bottom"/>
          </w:tcPr>
          <w:p>
            <w:pPr>
              <w:jc w:val="right"/>
              <w:spacing w:after="0"/>
              <w:rPr>
                <w:sz w:val="20"/>
                <w:szCs w:val="20"/>
                <w:color w:val="auto"/>
              </w:rPr>
            </w:pPr>
            <w:r>
              <w:rPr>
                <w:rFonts w:ascii="Arial" w:cs="Arial" w:eastAsia="Arial" w:hAnsi="Arial"/>
                <w:sz w:val="13"/>
                <w:szCs w:val="13"/>
                <w:color w:val="auto"/>
              </w:rPr>
              <w:t>17,048</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3"/>
                <w:szCs w:val="13"/>
                <w:b w:val="1"/>
                <w:bCs w:val="1"/>
                <w:color w:val="auto"/>
              </w:rPr>
              <w:t>TOTAL NON-CURRENT ASSETS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4,070,634</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3,928,872</w:t>
            </w: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4"/>
        </w:trPr>
        <w:tc>
          <w:tcPr>
            <w:tcW w:w="50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5,391,232</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5,196,836</w:t>
            </w:r>
          </w:p>
        </w:tc>
      </w:tr>
      <w:tr>
        <w:trPr>
          <w:trHeight w:val="203"/>
        </w:trPr>
        <w:tc>
          <w:tcPr>
            <w:tcW w:w="5000" w:type="dxa"/>
            <w:vAlign w:val="bottom"/>
          </w:tcPr>
          <w:p>
            <w:pPr>
              <w:jc w:val="center"/>
              <w:ind w:left="897"/>
              <w:spacing w:after="0"/>
              <w:rPr>
                <w:sz w:val="20"/>
                <w:szCs w:val="20"/>
                <w:color w:val="auto"/>
              </w:rPr>
            </w:pPr>
            <w:r>
              <w:rPr>
                <w:rFonts w:ascii="Arial" w:cs="Arial" w:eastAsia="Arial" w:hAnsi="Arial"/>
                <w:sz w:val="13"/>
                <w:szCs w:val="13"/>
                <w:b w:val="1"/>
                <w:bCs w:val="1"/>
                <w:color w:val="auto"/>
                <w:w w:val="96"/>
              </w:rPr>
              <w:t>LIABILITIES</w:t>
            </w:r>
          </w:p>
        </w:tc>
        <w:tc>
          <w:tcPr>
            <w:tcW w:w="2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7"/>
        </w:trPr>
        <w:tc>
          <w:tcPr>
            <w:tcW w:w="5000" w:type="dxa"/>
            <w:vAlign w:val="bottom"/>
          </w:tcPr>
          <w:p>
            <w:pPr>
              <w:ind w:left="260"/>
              <w:spacing w:after="0"/>
              <w:rPr>
                <w:sz w:val="20"/>
                <w:szCs w:val="20"/>
                <w:color w:val="auto"/>
              </w:rPr>
            </w:pPr>
            <w:r>
              <w:rPr>
                <w:rFonts w:ascii="Arial" w:cs="Arial" w:eastAsia="Arial" w:hAnsi="Arial"/>
                <w:sz w:val="13"/>
                <w:szCs w:val="13"/>
                <w:color w:val="auto"/>
              </w:rPr>
              <w:t>Loans and borrowings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226,513</w:t>
            </w:r>
          </w:p>
        </w:tc>
        <w:tc>
          <w:tcPr>
            <w:tcW w:w="1580" w:type="dxa"/>
            <w:vAlign w:val="bottom"/>
          </w:tcPr>
          <w:p>
            <w:pPr>
              <w:jc w:val="right"/>
              <w:spacing w:after="0"/>
              <w:rPr>
                <w:sz w:val="20"/>
                <w:szCs w:val="20"/>
                <w:color w:val="auto"/>
              </w:rPr>
            </w:pPr>
            <w:r>
              <w:rPr>
                <w:rFonts w:ascii="Arial" w:cs="Arial" w:eastAsia="Arial" w:hAnsi="Arial"/>
                <w:sz w:val="13"/>
                <w:szCs w:val="13"/>
                <w:color w:val="auto"/>
              </w:rPr>
              <w:t>222,430</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Current portion of lease liability</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59,743</w:t>
            </w:r>
          </w:p>
        </w:tc>
        <w:tc>
          <w:tcPr>
            <w:tcW w:w="1580" w:type="dxa"/>
            <w:vAlign w:val="bottom"/>
          </w:tcPr>
          <w:p>
            <w:pPr>
              <w:jc w:val="right"/>
              <w:spacing w:after="0"/>
              <w:rPr>
                <w:sz w:val="20"/>
                <w:szCs w:val="20"/>
                <w:color w:val="auto"/>
              </w:rPr>
            </w:pPr>
            <w:r>
              <w:rPr>
                <w:rFonts w:ascii="Arial" w:cs="Arial" w:eastAsia="Arial" w:hAnsi="Arial"/>
                <w:sz w:val="13"/>
                <w:szCs w:val="13"/>
                <w:color w:val="auto"/>
              </w:rPr>
              <w:t>68,304</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193,427</w:t>
            </w:r>
          </w:p>
        </w:tc>
        <w:tc>
          <w:tcPr>
            <w:tcW w:w="1580" w:type="dxa"/>
            <w:vAlign w:val="bottom"/>
          </w:tcPr>
          <w:p>
            <w:pPr>
              <w:jc w:val="right"/>
              <w:spacing w:after="0"/>
              <w:rPr>
                <w:sz w:val="20"/>
                <w:szCs w:val="20"/>
                <w:color w:val="auto"/>
              </w:rPr>
            </w:pPr>
            <w:r>
              <w:rPr>
                <w:rFonts w:ascii="Arial" w:cs="Arial" w:eastAsia="Arial" w:hAnsi="Arial"/>
                <w:sz w:val="13"/>
                <w:szCs w:val="13"/>
                <w:color w:val="auto"/>
              </w:rPr>
              <w:t>182,303</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Accounts payable to related parties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3,913</w:t>
            </w:r>
          </w:p>
        </w:tc>
        <w:tc>
          <w:tcPr>
            <w:tcW w:w="1580" w:type="dxa"/>
            <w:vAlign w:val="bottom"/>
          </w:tcPr>
          <w:p>
            <w:pPr>
              <w:jc w:val="right"/>
              <w:spacing w:after="0"/>
              <w:rPr>
                <w:sz w:val="20"/>
                <w:szCs w:val="20"/>
                <w:color w:val="auto"/>
              </w:rPr>
            </w:pPr>
            <w:r>
              <w:rPr>
                <w:rFonts w:ascii="Arial" w:cs="Arial" w:eastAsia="Arial" w:hAnsi="Arial"/>
                <w:sz w:val="13"/>
                <w:szCs w:val="13"/>
                <w:color w:val="auto"/>
              </w:rPr>
              <w:t>1,228</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Air traffic liability</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640,643</w:t>
            </w:r>
          </w:p>
        </w:tc>
        <w:tc>
          <w:tcPr>
            <w:tcW w:w="1580" w:type="dxa"/>
            <w:vAlign w:val="bottom"/>
          </w:tcPr>
          <w:p>
            <w:pPr>
              <w:jc w:val="right"/>
              <w:spacing w:after="0"/>
              <w:rPr>
                <w:sz w:val="20"/>
                <w:szCs w:val="20"/>
                <w:color w:val="auto"/>
              </w:rPr>
            </w:pPr>
            <w:r>
              <w:rPr>
                <w:rFonts w:ascii="Arial" w:cs="Arial" w:eastAsia="Arial" w:hAnsi="Arial"/>
                <w:sz w:val="13"/>
                <w:szCs w:val="13"/>
                <w:color w:val="auto"/>
              </w:rPr>
              <w:t>611,856</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Frequent flyer deferred revenue</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127,024</w:t>
            </w:r>
          </w:p>
        </w:tc>
        <w:tc>
          <w:tcPr>
            <w:tcW w:w="1580" w:type="dxa"/>
            <w:vAlign w:val="bottom"/>
          </w:tcPr>
          <w:p>
            <w:pPr>
              <w:jc w:val="right"/>
              <w:spacing w:after="0"/>
              <w:rPr>
                <w:sz w:val="20"/>
                <w:szCs w:val="20"/>
                <w:color w:val="auto"/>
              </w:rPr>
            </w:pPr>
            <w:r>
              <w:rPr>
                <w:rFonts w:ascii="Arial" w:cs="Arial" w:eastAsia="Arial" w:hAnsi="Arial"/>
                <w:sz w:val="13"/>
                <w:szCs w:val="13"/>
                <w:color w:val="auto"/>
              </w:rPr>
              <w:t>124,815</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Taxes Payable</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53,642</w:t>
            </w:r>
          </w:p>
        </w:tc>
        <w:tc>
          <w:tcPr>
            <w:tcW w:w="1580" w:type="dxa"/>
            <w:vAlign w:val="bottom"/>
          </w:tcPr>
          <w:p>
            <w:pPr>
              <w:jc w:val="right"/>
              <w:spacing w:after="0"/>
              <w:rPr>
                <w:sz w:val="20"/>
                <w:szCs w:val="20"/>
                <w:color w:val="auto"/>
              </w:rPr>
            </w:pPr>
            <w:r>
              <w:rPr>
                <w:rFonts w:ascii="Arial" w:cs="Arial" w:eastAsia="Arial" w:hAnsi="Arial"/>
                <w:sz w:val="13"/>
                <w:szCs w:val="13"/>
                <w:color w:val="auto"/>
              </w:rPr>
              <w:t>44,210</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Accrued expenses payable</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41,417</w:t>
            </w:r>
          </w:p>
        </w:tc>
        <w:tc>
          <w:tcPr>
            <w:tcW w:w="1580" w:type="dxa"/>
            <w:vAlign w:val="bottom"/>
          </w:tcPr>
          <w:p>
            <w:pPr>
              <w:jc w:val="right"/>
              <w:spacing w:after="0"/>
              <w:rPr>
                <w:sz w:val="20"/>
                <w:szCs w:val="20"/>
                <w:color w:val="auto"/>
              </w:rPr>
            </w:pPr>
            <w:r>
              <w:rPr>
                <w:rFonts w:ascii="Arial" w:cs="Arial" w:eastAsia="Arial" w:hAnsi="Arial"/>
                <w:sz w:val="13"/>
                <w:szCs w:val="13"/>
                <w:color w:val="auto"/>
              </w:rPr>
              <w:t>64,940</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Income tax payable</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6,630</w:t>
            </w:r>
          </w:p>
        </w:tc>
        <w:tc>
          <w:tcPr>
            <w:tcW w:w="1580" w:type="dxa"/>
            <w:vAlign w:val="bottom"/>
          </w:tcPr>
          <w:p>
            <w:pPr>
              <w:jc w:val="right"/>
              <w:spacing w:after="0"/>
              <w:rPr>
                <w:sz w:val="20"/>
                <w:szCs w:val="20"/>
                <w:color w:val="auto"/>
              </w:rPr>
            </w:pPr>
            <w:r>
              <w:rPr>
                <w:rFonts w:ascii="Arial" w:cs="Arial" w:eastAsia="Arial" w:hAnsi="Arial"/>
                <w:sz w:val="13"/>
                <w:szCs w:val="13"/>
                <w:color w:val="auto"/>
              </w:rPr>
              <w:t>26,741</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737</w:t>
            </w:r>
          </w:p>
        </w:tc>
        <w:tc>
          <w:tcPr>
            <w:tcW w:w="1580" w:type="dxa"/>
            <w:vAlign w:val="bottom"/>
          </w:tcPr>
          <w:p>
            <w:pPr>
              <w:jc w:val="right"/>
              <w:spacing w:after="0"/>
              <w:rPr>
                <w:sz w:val="20"/>
                <w:szCs w:val="20"/>
                <w:color w:val="auto"/>
              </w:rPr>
            </w:pPr>
            <w:r>
              <w:rPr>
                <w:rFonts w:ascii="Arial" w:cs="Arial" w:eastAsia="Arial" w:hAnsi="Arial"/>
                <w:sz w:val="13"/>
                <w:szCs w:val="13"/>
                <w:color w:val="auto"/>
              </w:rPr>
              <w:t>1,403</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4"/>
        </w:trPr>
        <w:tc>
          <w:tcPr>
            <w:tcW w:w="5000" w:type="dxa"/>
            <w:vAlign w:val="bottom"/>
          </w:tcPr>
          <w:p>
            <w:pPr>
              <w:ind w:left="180"/>
              <w:spacing w:after="0"/>
              <w:rPr>
                <w:sz w:val="20"/>
                <w:szCs w:val="20"/>
                <w:color w:val="auto"/>
              </w:rPr>
            </w:pPr>
            <w:r>
              <w:rPr>
                <w:rFonts w:ascii="Arial" w:cs="Arial" w:eastAsia="Arial" w:hAnsi="Arial"/>
                <w:sz w:val="13"/>
                <w:szCs w:val="13"/>
                <w:b w:val="1"/>
                <w:bCs w:val="1"/>
                <w:color w:val="auto"/>
              </w:rPr>
              <w:t>TOTAL CURRENT LIABILITIES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1,353,688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1,348,229</w:t>
            </w:r>
          </w:p>
        </w:tc>
      </w:tr>
      <w:tr>
        <w:trPr>
          <w:trHeight w:val="291"/>
        </w:trPr>
        <w:tc>
          <w:tcPr>
            <w:tcW w:w="5000" w:type="dxa"/>
            <w:vAlign w:val="bottom"/>
          </w:tcPr>
          <w:p>
            <w:pPr>
              <w:ind w:left="260"/>
              <w:spacing w:after="0"/>
              <w:rPr>
                <w:sz w:val="20"/>
                <w:szCs w:val="20"/>
                <w:color w:val="auto"/>
              </w:rPr>
            </w:pPr>
            <w:r>
              <w:rPr>
                <w:rFonts w:ascii="Arial" w:cs="Arial" w:eastAsia="Arial" w:hAnsi="Arial"/>
                <w:sz w:val="13"/>
                <w:szCs w:val="13"/>
                <w:color w:val="auto"/>
              </w:rPr>
              <w:t>Loans and borrowings long-term</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1,241,684</w:t>
            </w:r>
          </w:p>
        </w:tc>
        <w:tc>
          <w:tcPr>
            <w:tcW w:w="1580" w:type="dxa"/>
            <w:vAlign w:val="bottom"/>
          </w:tcPr>
          <w:p>
            <w:pPr>
              <w:jc w:val="right"/>
              <w:spacing w:after="0"/>
              <w:rPr>
                <w:sz w:val="20"/>
                <w:szCs w:val="20"/>
                <w:color w:val="auto"/>
              </w:rPr>
            </w:pPr>
            <w:r>
              <w:rPr>
                <w:rFonts w:ascii="Arial" w:cs="Arial" w:eastAsia="Arial" w:hAnsi="Arial"/>
                <w:sz w:val="13"/>
                <w:szCs w:val="13"/>
                <w:color w:val="auto"/>
              </w:rPr>
              <w:t>1,240,261</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Lease Liability</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296,402</w:t>
            </w:r>
          </w:p>
        </w:tc>
        <w:tc>
          <w:tcPr>
            <w:tcW w:w="1580" w:type="dxa"/>
            <w:vAlign w:val="bottom"/>
          </w:tcPr>
          <w:p>
            <w:pPr>
              <w:jc w:val="right"/>
              <w:spacing w:after="0"/>
              <w:rPr>
                <w:sz w:val="20"/>
                <w:szCs w:val="20"/>
                <w:color w:val="auto"/>
              </w:rPr>
            </w:pPr>
            <w:r>
              <w:rPr>
                <w:rFonts w:ascii="Arial" w:cs="Arial" w:eastAsia="Arial" w:hAnsi="Arial"/>
                <w:sz w:val="13"/>
                <w:szCs w:val="13"/>
                <w:color w:val="auto"/>
              </w:rPr>
              <w:t>215,353</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Deferred tax Liabilities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47,457</w:t>
            </w:r>
          </w:p>
        </w:tc>
        <w:tc>
          <w:tcPr>
            <w:tcW w:w="1580" w:type="dxa"/>
            <w:vAlign w:val="bottom"/>
          </w:tcPr>
          <w:p>
            <w:pPr>
              <w:jc w:val="right"/>
              <w:spacing w:after="0"/>
              <w:rPr>
                <w:sz w:val="20"/>
                <w:szCs w:val="20"/>
                <w:color w:val="auto"/>
              </w:rPr>
            </w:pPr>
            <w:r>
              <w:rPr>
                <w:rFonts w:ascii="Arial" w:cs="Arial" w:eastAsia="Arial" w:hAnsi="Arial"/>
                <w:sz w:val="13"/>
                <w:szCs w:val="13"/>
                <w:color w:val="auto"/>
              </w:rPr>
              <w:t>36,369</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Other long - term liabilities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216,512</w:t>
            </w:r>
          </w:p>
        </w:tc>
        <w:tc>
          <w:tcPr>
            <w:tcW w:w="1580" w:type="dxa"/>
            <w:vAlign w:val="bottom"/>
          </w:tcPr>
          <w:p>
            <w:pPr>
              <w:jc w:val="right"/>
              <w:spacing w:after="0"/>
              <w:rPr>
                <w:sz w:val="20"/>
                <w:szCs w:val="20"/>
                <w:color w:val="auto"/>
              </w:rPr>
            </w:pPr>
            <w:r>
              <w:rPr>
                <w:rFonts w:ascii="Arial" w:cs="Arial" w:eastAsia="Arial" w:hAnsi="Arial"/>
                <w:sz w:val="13"/>
                <w:szCs w:val="13"/>
                <w:color w:val="auto"/>
              </w:rPr>
              <w:t>234,474</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4"/>
        </w:trPr>
        <w:tc>
          <w:tcPr>
            <w:tcW w:w="5000" w:type="dxa"/>
            <w:vAlign w:val="bottom"/>
          </w:tcPr>
          <w:p>
            <w:pPr>
              <w:ind w:left="180"/>
              <w:spacing w:after="0"/>
              <w:rPr>
                <w:sz w:val="20"/>
                <w:szCs w:val="20"/>
                <w:color w:val="auto"/>
              </w:rPr>
            </w:pPr>
            <w:r>
              <w:rPr>
                <w:rFonts w:ascii="Arial" w:cs="Arial" w:eastAsia="Arial" w:hAnsi="Arial"/>
                <w:sz w:val="13"/>
                <w:szCs w:val="13"/>
                <w:b w:val="1"/>
                <w:bCs w:val="1"/>
                <w:color w:val="auto"/>
              </w:rPr>
              <w:t>TOTAL NON-CURRENT LIABILITIES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1,802,054</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1,726,457</w:t>
            </w: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5"/>
        </w:trPr>
        <w:tc>
          <w:tcPr>
            <w:tcW w:w="5000" w:type="dxa"/>
            <w:vAlign w:val="bottom"/>
          </w:tcPr>
          <w:p>
            <w:pPr>
              <w:ind w:left="100"/>
              <w:spacing w:after="0"/>
              <w:rPr>
                <w:sz w:val="20"/>
                <w:szCs w:val="20"/>
                <w:color w:val="auto"/>
              </w:rPr>
            </w:pPr>
            <w:r>
              <w:rPr>
                <w:rFonts w:ascii="Arial" w:cs="Arial" w:eastAsia="Arial" w:hAnsi="Arial"/>
                <w:sz w:val="13"/>
                <w:szCs w:val="13"/>
                <w:b w:val="1"/>
                <w:bCs w:val="1"/>
                <w:color w:val="auto"/>
              </w:rPr>
              <w:t>TOTAL LIABILITIES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3,155,742</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3,074,685</w:t>
            </w:r>
          </w:p>
        </w:tc>
      </w:tr>
      <w:tr>
        <w:trPr>
          <w:trHeight w:val="203"/>
        </w:trPr>
        <w:tc>
          <w:tcPr>
            <w:tcW w:w="5000" w:type="dxa"/>
            <w:vAlign w:val="bottom"/>
          </w:tcPr>
          <w:p>
            <w:pPr>
              <w:jc w:val="center"/>
              <w:ind w:left="897"/>
              <w:spacing w:after="0"/>
              <w:rPr>
                <w:sz w:val="20"/>
                <w:szCs w:val="20"/>
                <w:color w:val="auto"/>
              </w:rPr>
            </w:pPr>
            <w:r>
              <w:rPr>
                <w:rFonts w:ascii="Arial" w:cs="Arial" w:eastAsia="Arial" w:hAnsi="Arial"/>
                <w:sz w:val="13"/>
                <w:szCs w:val="13"/>
                <w:b w:val="1"/>
                <w:bCs w:val="1"/>
                <w:color w:val="auto"/>
                <w:w w:val="99"/>
              </w:rPr>
              <w:t>EQUITY</w:t>
            </w:r>
          </w:p>
        </w:tc>
        <w:tc>
          <w:tcPr>
            <w:tcW w:w="2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000" w:type="dxa"/>
            <w:vAlign w:val="bottom"/>
          </w:tcPr>
          <w:p>
            <w:pPr>
              <w:ind w:left="260"/>
              <w:spacing w:after="0"/>
              <w:rPr>
                <w:sz w:val="20"/>
                <w:szCs w:val="20"/>
                <w:color w:val="auto"/>
              </w:rPr>
            </w:pPr>
            <w:r>
              <w:rPr>
                <w:rFonts w:ascii="Arial" w:cs="Arial" w:eastAsia="Arial" w:hAnsi="Arial"/>
                <w:sz w:val="13"/>
                <w:szCs w:val="13"/>
                <w:color w:val="auto"/>
              </w:rPr>
              <w:t>Class A - 34,185,954 issued and 30,654,620 outstanding</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23,244</w:t>
            </w:r>
          </w:p>
        </w:tc>
        <w:tc>
          <w:tcPr>
            <w:tcW w:w="1580" w:type="dxa"/>
            <w:vAlign w:val="bottom"/>
          </w:tcPr>
          <w:p>
            <w:pPr>
              <w:jc w:val="right"/>
              <w:spacing w:after="0"/>
              <w:rPr>
                <w:sz w:val="20"/>
                <w:szCs w:val="20"/>
                <w:color w:val="auto"/>
              </w:rPr>
            </w:pPr>
            <w:r>
              <w:rPr>
                <w:rFonts w:ascii="Arial" w:cs="Arial" w:eastAsia="Arial" w:hAnsi="Arial"/>
                <w:sz w:val="13"/>
                <w:szCs w:val="13"/>
                <w:color w:val="auto"/>
              </w:rPr>
              <w:t>23,201</w:t>
            </w:r>
          </w:p>
        </w:tc>
      </w:tr>
      <w:tr>
        <w:trPr>
          <w:trHeight w:val="203"/>
        </w:trPr>
        <w:tc>
          <w:tcPr>
            <w:tcW w:w="5000" w:type="dxa"/>
            <w:vAlign w:val="bottom"/>
          </w:tcPr>
          <w:p>
            <w:pPr>
              <w:ind w:left="260"/>
              <w:spacing w:after="0"/>
              <w:rPr>
                <w:sz w:val="20"/>
                <w:szCs w:val="20"/>
                <w:color w:val="auto"/>
              </w:rPr>
            </w:pPr>
            <w:r>
              <w:rPr>
                <w:rFonts w:ascii="Arial" w:cs="Arial" w:eastAsia="Arial" w:hAnsi="Arial"/>
                <w:sz w:val="13"/>
                <w:szCs w:val="13"/>
                <w:color w:val="auto"/>
              </w:rPr>
              <w:t>Class B - 10,938,125</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7,466</w:t>
            </w:r>
          </w:p>
        </w:tc>
        <w:tc>
          <w:tcPr>
            <w:tcW w:w="1580" w:type="dxa"/>
            <w:vAlign w:val="bottom"/>
          </w:tcPr>
          <w:p>
            <w:pPr>
              <w:jc w:val="right"/>
              <w:spacing w:after="0"/>
              <w:rPr>
                <w:sz w:val="20"/>
                <w:szCs w:val="20"/>
                <w:color w:val="auto"/>
              </w:rPr>
            </w:pPr>
            <w:r>
              <w:rPr>
                <w:rFonts w:ascii="Arial" w:cs="Arial" w:eastAsia="Arial" w:hAnsi="Arial"/>
                <w:sz w:val="13"/>
                <w:szCs w:val="13"/>
                <w:color w:val="auto"/>
              </w:rPr>
              <w:t>7,466</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211,260</w:t>
            </w:r>
          </w:p>
        </w:tc>
        <w:tc>
          <w:tcPr>
            <w:tcW w:w="1580" w:type="dxa"/>
            <w:vAlign w:val="bottom"/>
          </w:tcPr>
          <w:p>
            <w:pPr>
              <w:jc w:val="right"/>
              <w:spacing w:after="0"/>
              <w:rPr>
                <w:sz w:val="20"/>
                <w:szCs w:val="20"/>
                <w:color w:val="auto"/>
              </w:rPr>
            </w:pPr>
            <w:r>
              <w:rPr>
                <w:rFonts w:ascii="Arial" w:cs="Arial" w:eastAsia="Arial" w:hAnsi="Arial"/>
                <w:sz w:val="13"/>
                <w:szCs w:val="13"/>
                <w:color w:val="auto"/>
              </w:rPr>
              <w:t>209,102</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Treasury Stock</w:t>
            </w:r>
          </w:p>
        </w:tc>
        <w:tc>
          <w:tcPr>
            <w:tcW w:w="2760" w:type="dxa"/>
            <w:vAlign w:val="bottom"/>
          </w:tcPr>
          <w:p>
            <w:pPr>
              <w:jc w:val="right"/>
              <w:ind w:right="197"/>
              <w:spacing w:after="0"/>
              <w:rPr>
                <w:sz w:val="20"/>
                <w:szCs w:val="20"/>
                <w:color w:val="auto"/>
              </w:rPr>
            </w:pPr>
            <w:r>
              <w:rPr>
                <w:rFonts w:ascii="Arial" w:cs="Arial" w:eastAsia="Arial" w:hAnsi="Arial"/>
                <w:sz w:val="13"/>
                <w:szCs w:val="13"/>
                <w:color w:val="auto"/>
              </w:rPr>
              <w:t>(254,532)</w:t>
            </w:r>
          </w:p>
        </w:tc>
        <w:tc>
          <w:tcPr>
            <w:tcW w:w="1580" w:type="dxa"/>
            <w:vAlign w:val="bottom"/>
          </w:tcPr>
          <w:p>
            <w:pPr>
              <w:jc w:val="right"/>
              <w:spacing w:after="0"/>
              <w:rPr>
                <w:sz w:val="20"/>
                <w:szCs w:val="20"/>
                <w:color w:val="auto"/>
              </w:rPr>
            </w:pPr>
            <w:r>
              <w:rPr>
                <w:rFonts w:ascii="Arial" w:cs="Arial" w:eastAsia="Arial" w:hAnsi="Arial"/>
                <w:sz w:val="13"/>
                <w:szCs w:val="13"/>
                <w:color w:val="auto"/>
              </w:rPr>
              <w:t>(204,130)</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Retained Earnings</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1,961,060</w:t>
            </w:r>
          </w:p>
        </w:tc>
        <w:tc>
          <w:tcPr>
            <w:tcW w:w="1580" w:type="dxa"/>
            <w:vAlign w:val="bottom"/>
          </w:tcPr>
          <w:p>
            <w:pPr>
              <w:jc w:val="right"/>
              <w:spacing w:after="0"/>
              <w:rPr>
                <w:sz w:val="20"/>
                <w:szCs w:val="20"/>
                <w:color w:val="auto"/>
              </w:rPr>
            </w:pPr>
            <w:r>
              <w:rPr>
                <w:rFonts w:ascii="Arial" w:cs="Arial" w:eastAsia="Arial" w:hAnsi="Arial"/>
                <w:sz w:val="13"/>
                <w:szCs w:val="13"/>
                <w:color w:val="auto"/>
              </w:rPr>
              <w:t>1,581,739</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Net profit</w:t>
            </w:r>
          </w:p>
        </w:tc>
        <w:tc>
          <w:tcPr>
            <w:tcW w:w="2760" w:type="dxa"/>
            <w:vAlign w:val="bottom"/>
          </w:tcPr>
          <w:p>
            <w:pPr>
              <w:jc w:val="right"/>
              <w:ind w:right="237"/>
              <w:spacing w:after="0"/>
              <w:rPr>
                <w:sz w:val="20"/>
                <w:szCs w:val="20"/>
                <w:color w:val="auto"/>
              </w:rPr>
            </w:pPr>
            <w:r>
              <w:rPr>
                <w:rFonts w:ascii="Arial" w:cs="Arial" w:eastAsia="Arial" w:hAnsi="Arial"/>
                <w:sz w:val="13"/>
                <w:szCs w:val="13"/>
                <w:color w:val="auto"/>
              </w:rPr>
              <w:t>296,318</w:t>
            </w:r>
          </w:p>
        </w:tc>
        <w:tc>
          <w:tcPr>
            <w:tcW w:w="1580" w:type="dxa"/>
            <w:vAlign w:val="bottom"/>
          </w:tcPr>
          <w:p>
            <w:pPr>
              <w:jc w:val="right"/>
              <w:spacing w:after="0"/>
              <w:rPr>
                <w:sz w:val="20"/>
                <w:szCs w:val="20"/>
                <w:color w:val="auto"/>
              </w:rPr>
            </w:pPr>
            <w:r>
              <w:rPr>
                <w:rFonts w:ascii="Arial" w:cs="Arial" w:eastAsia="Arial" w:hAnsi="Arial"/>
                <w:sz w:val="13"/>
                <w:szCs w:val="13"/>
                <w:color w:val="auto"/>
              </w:rPr>
              <w:t>514,098</w:t>
            </w:r>
          </w:p>
        </w:tc>
      </w:tr>
      <w:tr>
        <w:trPr>
          <w:trHeight w:val="203"/>
        </w:trPr>
        <w:tc>
          <w:tcPr>
            <w:tcW w:w="500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2760" w:type="dxa"/>
            <w:vAlign w:val="bottom"/>
          </w:tcPr>
          <w:p>
            <w:pPr>
              <w:jc w:val="right"/>
              <w:ind w:right="197"/>
              <w:spacing w:after="0"/>
              <w:rPr>
                <w:sz w:val="20"/>
                <w:szCs w:val="20"/>
                <w:color w:val="auto"/>
              </w:rPr>
            </w:pPr>
            <w:r>
              <w:rPr>
                <w:rFonts w:ascii="Arial" w:cs="Arial" w:eastAsia="Arial" w:hAnsi="Arial"/>
                <w:sz w:val="13"/>
                <w:szCs w:val="13"/>
                <w:color w:val="auto"/>
              </w:rPr>
              <w:t>(9,326)</w:t>
            </w:r>
          </w:p>
        </w:tc>
        <w:tc>
          <w:tcPr>
            <w:tcW w:w="1580" w:type="dxa"/>
            <w:vAlign w:val="bottom"/>
          </w:tcPr>
          <w:p>
            <w:pPr>
              <w:jc w:val="right"/>
              <w:spacing w:after="0"/>
              <w:rPr>
                <w:sz w:val="20"/>
                <w:szCs w:val="20"/>
                <w:color w:val="auto"/>
              </w:rPr>
            </w:pPr>
            <w:r>
              <w:rPr>
                <w:rFonts w:ascii="Arial" w:cs="Arial" w:eastAsia="Arial" w:hAnsi="Arial"/>
                <w:sz w:val="13"/>
                <w:szCs w:val="13"/>
                <w:color w:val="auto"/>
              </w:rPr>
              <w:t>(9,326)</w:t>
            </w:r>
          </w:p>
        </w:tc>
      </w:tr>
      <w:tr>
        <w:trPr>
          <w:trHeight w:val="28"/>
        </w:trPr>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3"/>
                <w:szCs w:val="13"/>
                <w:b w:val="1"/>
                <w:bCs w:val="1"/>
                <w:color w:val="auto"/>
              </w:rPr>
              <w:t>TOTAL EQUITY</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2,235,490</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2,122,150</w:t>
            </w: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5"/>
        </w:trPr>
        <w:tc>
          <w:tcPr>
            <w:tcW w:w="5000" w:type="dxa"/>
            <w:vAlign w:val="bottom"/>
          </w:tcPr>
          <w:p>
            <w:pPr>
              <w:ind w:left="20"/>
              <w:spacing w:after="0"/>
              <w:rPr>
                <w:sz w:val="20"/>
                <w:szCs w:val="20"/>
                <w:color w:val="auto"/>
              </w:rPr>
            </w:pPr>
            <w:r>
              <w:rPr>
                <w:rFonts w:ascii="Arial" w:cs="Arial" w:eastAsia="Arial" w:hAnsi="Arial"/>
                <w:sz w:val="13"/>
                <w:szCs w:val="13"/>
                <w:b w:val="1"/>
                <w:bCs w:val="1"/>
                <w:color w:val="auto"/>
              </w:rPr>
              <w:t>TOTAL EQUITY LIABILITIES</w:t>
            </w:r>
          </w:p>
        </w:tc>
        <w:tc>
          <w:tcPr>
            <w:tcW w:w="2760" w:type="dxa"/>
            <w:vAlign w:val="bottom"/>
          </w:tcPr>
          <w:p>
            <w:pPr>
              <w:jc w:val="right"/>
              <w:ind w:right="237"/>
              <w:spacing w:after="0"/>
              <w:rPr>
                <w:sz w:val="20"/>
                <w:szCs w:val="20"/>
                <w:color w:val="auto"/>
              </w:rPr>
            </w:pPr>
            <w:r>
              <w:rPr>
                <w:rFonts w:ascii="Arial" w:cs="Arial" w:eastAsia="Arial" w:hAnsi="Arial"/>
                <w:sz w:val="13"/>
                <w:szCs w:val="13"/>
                <w:b w:val="1"/>
                <w:bCs w:val="1"/>
                <w:color w:val="auto"/>
              </w:rPr>
              <w:t>5,391,232</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5,196,836</w:t>
            </w: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20"/>
          </w:cols>
          <w:pgMar w:left="320" w:top="1440" w:right="6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Copa Holdings, S. A.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217"/>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8"/>
                <w:szCs w:val="18"/>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(Unaudited)</w:t>
            </w:r>
          </w:p>
        </w:tc>
      </w:tr>
      <w:tr>
        <w:trPr>
          <w:trHeight w:val="202"/>
        </w:trPr>
        <w:tc>
          <w:tcPr>
            <w:tcW w:w="6360" w:type="dxa"/>
            <w:vAlign w:val="bottom"/>
          </w:tcPr>
          <w:p>
            <w:pPr>
              <w:ind w:left="8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470,777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420,171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327,833</w:t>
            </w:r>
          </w:p>
        </w:tc>
      </w:tr>
      <w:tr>
        <w:trPr>
          <w:trHeight w:val="216"/>
        </w:trPr>
        <w:tc>
          <w:tcPr>
            <w:tcW w:w="6360" w:type="dxa"/>
            <w:vAlign w:val="bottom"/>
          </w:tcPr>
          <w:p>
            <w:pPr>
              <w:ind w:left="80"/>
              <w:spacing w:after="0"/>
              <w:rPr>
                <w:sz w:val="20"/>
                <w:szCs w:val="20"/>
                <w:color w:val="auto"/>
              </w:rPr>
            </w:pPr>
            <w:r>
              <w:rPr>
                <w:rFonts w:ascii="Arial" w:cs="Arial" w:eastAsia="Arial" w:hAnsi="Arial"/>
                <w:sz w:val="14"/>
                <w:szCs w:val="14"/>
                <w:color w:val="auto"/>
              </w:rPr>
              <w:t>Cash flow (used in) investing activities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(258,696)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(262,743)</w:t>
            </w:r>
          </w:p>
        </w:tc>
      </w:tr>
      <w:tr>
        <w:trPr>
          <w:trHeight w:val="216"/>
        </w:trPr>
        <w:tc>
          <w:tcPr>
            <w:tcW w:w="6360" w:type="dxa"/>
            <w:vAlign w:val="bottom"/>
          </w:tcPr>
          <w:p>
            <w:pPr>
              <w:ind w:left="80"/>
              <w:spacing w:after="0"/>
              <w:rPr>
                <w:sz w:val="20"/>
                <w:szCs w:val="20"/>
                <w:color w:val="auto"/>
              </w:rPr>
            </w:pPr>
            <w:r>
              <w:rPr>
                <w:rFonts w:ascii="Arial" w:cs="Arial" w:eastAsia="Arial" w:hAnsi="Arial"/>
                <w:sz w:val="14"/>
                <w:szCs w:val="14"/>
                <w:color w:val="auto"/>
              </w:rPr>
              <w:t>Cash flow (used in) from financing activities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(217,820)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(142,046)</w:t>
            </w:r>
          </w:p>
        </w:tc>
      </w:tr>
      <w:tr>
        <w:trPr>
          <w:trHeight w:val="223"/>
        </w:trPr>
        <w:tc>
          <w:tcPr>
            <w:tcW w:w="6360" w:type="dxa"/>
            <w:vAlign w:val="bottom"/>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(5,739)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159,439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(76,956)</w:t>
            </w:r>
          </w:p>
        </w:tc>
      </w:tr>
      <w:tr>
        <w:trPr>
          <w:trHeight w:val="206"/>
        </w:trPr>
        <w:tc>
          <w:tcPr>
            <w:tcW w:w="6360" w:type="dxa"/>
            <w:vAlign w:val="bottom"/>
          </w:tcPr>
          <w:p>
            <w:pPr>
              <w:ind w:left="80"/>
              <w:spacing w:after="0"/>
              <w:rPr>
                <w:sz w:val="20"/>
                <w:szCs w:val="20"/>
                <w:color w:val="auto"/>
              </w:rPr>
            </w:pPr>
            <w:r>
              <w:rPr>
                <w:rFonts w:ascii="Arial" w:cs="Arial" w:eastAsia="Arial" w:hAnsi="Arial"/>
                <w:sz w:val="14"/>
                <w:szCs w:val="14"/>
                <w:color w:val="auto"/>
              </w:rPr>
              <w:t>Cash and cash equivalents at January 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206,375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211,081</w:t>
            </w:r>
          </w:p>
        </w:tc>
      </w:tr>
      <w:tr>
        <w:trPr>
          <w:trHeight w:val="212"/>
        </w:trPr>
        <w:tc>
          <w:tcPr>
            <w:tcW w:w="6360" w:type="dxa"/>
            <w:vAlign w:val="bottom"/>
          </w:tcPr>
          <w:p>
            <w:pPr>
              <w:spacing w:after="0"/>
              <w:rPr>
                <w:sz w:val="20"/>
                <w:szCs w:val="20"/>
                <w:color w:val="auto"/>
              </w:rPr>
            </w:pPr>
            <w:r>
              <w:rPr>
                <w:rFonts w:ascii="Arial" w:cs="Arial" w:eastAsia="Arial" w:hAnsi="Arial"/>
                <w:sz w:val="14"/>
                <w:szCs w:val="14"/>
                <w:b w:val="1"/>
                <w:bCs w:val="1"/>
                <w:color w:val="auto"/>
              </w:rPr>
              <w:t>Cash and cash equivalents at June 30</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200,636</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281,863</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134,125</w:t>
            </w:r>
          </w:p>
        </w:tc>
      </w:tr>
      <w:tr>
        <w:trPr>
          <w:trHeight w:val="628"/>
        </w:trPr>
        <w:tc>
          <w:tcPr>
            <w:tcW w:w="6360" w:type="dxa"/>
            <w:vAlign w:val="bottom"/>
          </w:tcPr>
          <w:p>
            <w:pPr>
              <w:ind w:left="8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748,239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833,576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801,132</w:t>
            </w:r>
          </w:p>
        </w:tc>
      </w:tr>
      <w:tr>
        <w:trPr>
          <w:trHeight w:val="220"/>
        </w:trPr>
        <w:tc>
          <w:tcPr>
            <w:tcW w:w="6360" w:type="dxa"/>
            <w:vAlign w:val="bottom"/>
          </w:tcPr>
          <w:p>
            <w:pPr>
              <w:ind w:left="80"/>
              <w:spacing w:after="0"/>
              <w:rPr>
                <w:sz w:val="20"/>
                <w:szCs w:val="20"/>
                <w:color w:val="auto"/>
              </w:rPr>
            </w:pPr>
            <w:r>
              <w:rPr>
                <w:rFonts w:ascii="Arial" w:cs="Arial" w:eastAsia="Arial" w:hAnsi="Arial"/>
                <w:sz w:val="14"/>
                <w:szCs w:val="14"/>
                <w:color w:val="auto"/>
              </w:rPr>
              <w:t>Long-term investments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258,379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222,282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140,374</w:t>
            </w:r>
          </w:p>
        </w:tc>
      </w:tr>
      <w:tr>
        <w:trPr>
          <w:trHeight w:val="213"/>
        </w:trPr>
        <w:tc>
          <w:tcPr>
            <w:tcW w:w="6360" w:type="dxa"/>
            <w:vAlign w:val="bottom"/>
          </w:tcPr>
          <w:p>
            <w:pPr>
              <w:spacing w:after="0"/>
              <w:rPr>
                <w:sz w:val="20"/>
                <w:szCs w:val="20"/>
                <w:color w:val="auto"/>
              </w:rPr>
            </w:pPr>
            <w:r>
              <w:rPr>
                <w:rFonts w:ascii="Arial" w:cs="Arial" w:eastAsia="Arial" w:hAnsi="Arial"/>
                <w:sz w:val="14"/>
                <w:szCs w:val="14"/>
                <w:b w:val="1"/>
                <w:bCs w:val="1"/>
                <w:color w:val="auto"/>
              </w:rPr>
              <w:t>Total cash and cash equivalents and investments at June 30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1,207,254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1,337,721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1,075,631</w:t>
            </w:r>
          </w:p>
        </w:tc>
      </w:tr>
      <w:tr>
        <w:trPr>
          <w:trHeight w:val="21"/>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40"/>
          </w:cols>
          <w:pgMar w:left="320" w:top="1440" w:right="4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5837555" cy="1106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37555" cy="11061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Copa Holdings, S.A.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FINANCIAL MEASURE RECONCILIATION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This press release includes the following non-IFRS financial measures: Adjusted Net Profit, Adjusted Basic EPS, and Operating CASM Excluding Fuel. This supplemental information is presented because we believe it is a useful indicator of our operating performance and is useful in comparing our performance with other companies in the airline industry. These measures should not be considered in isolation and should be considered together with comparable IFRS measures, in particular operating profit, and net profit. The following is a reconciliation of these non-IFRS financial measures to the comparable IFRS measures: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340" w:type="dxa"/>
            <w:vAlign w:val="bottom"/>
          </w:tcPr>
          <w:p>
            <w:pPr>
              <w:spacing w:after="0"/>
              <w:rPr>
                <w:sz w:val="20"/>
                <w:szCs w:val="20"/>
                <w:color w:val="auto"/>
              </w:rPr>
            </w:pPr>
            <w:r>
              <w:rPr>
                <w:rFonts w:ascii="Arial" w:cs="Arial" w:eastAsia="Arial" w:hAnsi="Arial"/>
                <w:sz w:val="14"/>
                <w:szCs w:val="14"/>
                <w:b w:val="1"/>
                <w:bCs w:val="1"/>
                <w:color w:val="auto"/>
              </w:rPr>
              <w:t>Reconciliation of Adjusted Net Profit</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2Q24</w:t>
            </w:r>
          </w:p>
        </w:tc>
        <w:tc>
          <w:tcPr>
            <w:tcW w:w="2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2Q23</w:t>
            </w:r>
          </w:p>
        </w:tc>
        <w:tc>
          <w:tcPr>
            <w:tcW w:w="260" w:type="dxa"/>
            <w:vAlign w:val="bottom"/>
          </w:tcPr>
          <w:p>
            <w:pPr>
              <w:spacing w:after="0"/>
              <w:rPr>
                <w:sz w:val="17"/>
                <w:szCs w:val="17"/>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1Q24</w:t>
            </w: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0"/>
                <w:szCs w:val="20"/>
                <w:color w:val="auto"/>
              </w:rPr>
            </w:pPr>
            <w:r>
              <w:rPr>
                <w:rFonts w:ascii="Arial" w:cs="Arial" w:eastAsia="Arial" w:hAnsi="Arial"/>
                <w:sz w:val="14"/>
                <w:szCs w:val="14"/>
                <w:color w:val="auto"/>
              </w:rPr>
              <w:t>Net Profit as Reported</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120,253</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17,509</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176,066</w:t>
            </w:r>
          </w:p>
        </w:tc>
        <w:tc>
          <w:tcPr>
            <w:tcW w:w="0" w:type="dxa"/>
            <w:vAlign w:val="bottom"/>
          </w:tcPr>
          <w:p>
            <w:pPr>
              <w:spacing w:after="0"/>
              <w:rPr>
                <w:sz w:val="1"/>
                <w:szCs w:val="1"/>
                <w:color w:val="auto"/>
              </w:rPr>
            </w:pPr>
          </w:p>
        </w:tc>
      </w:tr>
      <w:tr>
        <w:trPr>
          <w:trHeight w:val="216"/>
        </w:trPr>
        <w:tc>
          <w:tcPr>
            <w:tcW w:w="5340" w:type="dxa"/>
            <w:vAlign w:val="bottom"/>
          </w:tcPr>
          <w:p>
            <w:pPr>
              <w:ind w:left="80"/>
              <w:spacing w:after="0"/>
              <w:rPr>
                <w:sz w:val="20"/>
                <w:szCs w:val="20"/>
                <w:color w:val="auto"/>
              </w:rPr>
            </w:pPr>
            <w:r>
              <w:rPr>
                <w:rFonts w:ascii="Arial" w:cs="Arial" w:eastAsia="Arial" w:hAnsi="Arial"/>
                <w:sz w:val="14"/>
                <w:szCs w:val="14"/>
                <w:color w:val="auto"/>
              </w:rPr>
              <w:t>Net change in fair value of derivatives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137,473</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5340" w:type="dxa"/>
            <w:vAlign w:val="bottom"/>
          </w:tcPr>
          <w:p>
            <w:pPr>
              <w:ind w:left="80"/>
              <w:spacing w:after="0"/>
              <w:rPr>
                <w:sz w:val="20"/>
                <w:szCs w:val="20"/>
                <w:color w:val="auto"/>
              </w:rPr>
            </w:pPr>
            <w:r>
              <w:rPr>
                <w:rFonts w:ascii="Arial" w:cs="Arial" w:eastAsia="Arial" w:hAnsi="Arial"/>
                <w:sz w:val="14"/>
                <w:szCs w:val="14"/>
                <w:color w:val="auto"/>
              </w:rPr>
              <w:t>Net change in fair value of financial investments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4"/>
                <w:szCs w:val="14"/>
                <w:b w:val="1"/>
                <w:bCs w:val="1"/>
                <w:color w:val="auto"/>
              </w:rPr>
              <w:t>Adjusted Net Profit</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120,253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154,469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176,066</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5340" w:type="dxa"/>
            <w:vAlign w:val="bottom"/>
          </w:tcPr>
          <w:p>
            <w:pPr>
              <w:spacing w:after="0"/>
              <w:rPr>
                <w:sz w:val="20"/>
                <w:szCs w:val="20"/>
                <w:color w:val="auto"/>
              </w:rPr>
            </w:pPr>
            <w:r>
              <w:rPr>
                <w:rFonts w:ascii="Arial" w:cs="Arial" w:eastAsia="Arial" w:hAnsi="Arial"/>
                <w:sz w:val="14"/>
                <w:szCs w:val="14"/>
                <w:b w:val="1"/>
                <w:bCs w:val="1"/>
                <w:color w:val="auto"/>
              </w:rPr>
              <w:t>Reconciliation of Adjusted Basic EPS</w:t>
            </w:r>
          </w:p>
        </w:tc>
        <w:tc>
          <w:tcPr>
            <w:tcW w:w="26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2Q24</w:t>
            </w:r>
          </w:p>
        </w:tc>
        <w:tc>
          <w:tcPr>
            <w:tcW w:w="2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2Q23</w:t>
            </w:r>
          </w:p>
        </w:tc>
        <w:tc>
          <w:tcPr>
            <w:tcW w:w="26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1Q24</w:t>
            </w:r>
          </w:p>
        </w:tc>
        <w:tc>
          <w:tcPr>
            <w:tcW w:w="0" w:type="dxa"/>
            <w:vAlign w:val="bottom"/>
          </w:tcPr>
          <w:p>
            <w:pPr>
              <w:spacing w:after="0"/>
              <w:rPr>
                <w:sz w:val="1"/>
                <w:szCs w:val="1"/>
                <w:color w:val="auto"/>
              </w:rPr>
            </w:pPr>
          </w:p>
        </w:tc>
      </w:tr>
      <w:tr>
        <w:trPr>
          <w:trHeight w:val="459"/>
        </w:trPr>
        <w:tc>
          <w:tcPr>
            <w:tcW w:w="5340" w:type="dxa"/>
            <w:vAlign w:val="bottom"/>
          </w:tcPr>
          <w:p>
            <w:pPr>
              <w:ind w:left="120"/>
              <w:spacing w:after="0"/>
              <w:rPr>
                <w:sz w:val="20"/>
                <w:szCs w:val="20"/>
                <w:color w:val="auto"/>
              </w:rPr>
            </w:pPr>
            <w:r>
              <w:rPr>
                <w:rFonts w:ascii="Arial" w:cs="Arial" w:eastAsia="Arial" w:hAnsi="Arial"/>
                <w:sz w:val="14"/>
                <w:szCs w:val="14"/>
                <w:color w:val="auto"/>
              </w:rPr>
              <w:t>Adjusted Net Profit</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120,253</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154,469</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176,066</w:t>
            </w:r>
          </w:p>
        </w:tc>
        <w:tc>
          <w:tcPr>
            <w:tcW w:w="0" w:type="dxa"/>
            <w:vAlign w:val="bottom"/>
          </w:tcPr>
          <w:p>
            <w:pPr>
              <w:spacing w:after="0"/>
              <w:rPr>
                <w:sz w:val="1"/>
                <w:szCs w:val="1"/>
                <w:color w:val="auto"/>
              </w:rPr>
            </w:pPr>
          </w:p>
        </w:tc>
      </w:tr>
      <w:tr>
        <w:trPr>
          <w:trHeight w:val="220"/>
        </w:trPr>
        <w:tc>
          <w:tcPr>
            <w:tcW w:w="5340" w:type="dxa"/>
            <w:vAlign w:val="bottom"/>
          </w:tcPr>
          <w:p>
            <w:pPr>
              <w:ind w:left="120"/>
              <w:spacing w:after="0"/>
              <w:rPr>
                <w:sz w:val="20"/>
                <w:szCs w:val="20"/>
                <w:color w:val="auto"/>
              </w:rPr>
            </w:pPr>
            <w:r>
              <w:rPr>
                <w:rFonts w:ascii="Arial" w:cs="Arial" w:eastAsia="Arial" w:hAnsi="Arial"/>
                <w:sz w:val="14"/>
                <w:szCs w:val="14"/>
                <w:color w:val="auto"/>
              </w:rPr>
              <w:t>Shares used for calculation of Basic EPS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42,052</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Arial" w:cs="Arial" w:eastAsia="Arial" w:hAnsi="Arial"/>
                <w:sz w:val="14"/>
                <w:szCs w:val="14"/>
                <w:b w:val="1"/>
                <w:bCs w:val="1"/>
                <w:color w:val="auto"/>
              </w:rPr>
              <w:t>Adjusted Basic Earnings per share (Adjusted Basic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Operating Costs per ASM</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4"/>
                <w:szCs w:val="14"/>
                <w:b w:val="1"/>
                <w:bCs w:val="1"/>
                <w:color w:val="auto"/>
              </w:rPr>
              <w:t>Excluding Fuel (CASM Excl. Fuel)</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2Q24</w:t>
            </w: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2Q23</w:t>
            </w:r>
          </w:p>
        </w:tc>
        <w:tc>
          <w:tcPr>
            <w:tcW w:w="260" w:type="dxa"/>
            <w:vAlign w:val="bottom"/>
          </w:tcPr>
          <w:p>
            <w:pPr>
              <w:spacing w:after="0"/>
              <w:rPr>
                <w:sz w:val="18"/>
                <w:szCs w:val="18"/>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1Q24</w:t>
            </w:r>
          </w:p>
        </w:tc>
        <w:tc>
          <w:tcPr>
            <w:tcW w:w="0" w:type="dxa"/>
            <w:vAlign w:val="bottom"/>
          </w:tcPr>
          <w:p>
            <w:pPr>
              <w:spacing w:after="0"/>
              <w:rPr>
                <w:sz w:val="1"/>
                <w:szCs w:val="1"/>
                <w:color w:val="auto"/>
              </w:rPr>
            </w:pPr>
          </w:p>
        </w:tc>
      </w:tr>
      <w:tr>
        <w:trPr>
          <w:trHeight w:val="459"/>
        </w:trPr>
        <w:tc>
          <w:tcPr>
            <w:tcW w:w="5340" w:type="dxa"/>
            <w:vAlign w:val="bottom"/>
          </w:tcPr>
          <w:p>
            <w:pPr>
              <w:ind w:left="120"/>
              <w:spacing w:after="0"/>
              <w:rPr>
                <w:sz w:val="20"/>
                <w:szCs w:val="20"/>
                <w:color w:val="auto"/>
              </w:rPr>
            </w:pPr>
            <w:r>
              <w:rPr>
                <w:rFonts w:ascii="Arial" w:cs="Arial" w:eastAsia="Arial" w:hAnsi="Arial"/>
                <w:sz w:val="14"/>
                <w:szCs w:val="14"/>
                <w:color w:val="auto"/>
              </w:rPr>
              <w:t>Operating Costs per ASM as Reported (in US$ Cents)</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20"/>
        </w:trPr>
        <w:tc>
          <w:tcPr>
            <w:tcW w:w="5340" w:type="dxa"/>
            <w:vAlign w:val="bottom"/>
          </w:tcPr>
          <w:p>
            <w:pPr>
              <w:ind w:left="120"/>
              <w:spacing w:after="0"/>
              <w:rPr>
                <w:sz w:val="20"/>
                <w:szCs w:val="20"/>
                <w:color w:val="auto"/>
              </w:rPr>
            </w:pPr>
            <w:r>
              <w:rPr>
                <w:rFonts w:ascii="Arial" w:cs="Arial" w:eastAsia="Arial" w:hAnsi="Arial"/>
                <w:sz w:val="14"/>
                <w:szCs w:val="14"/>
                <w:color w:val="auto"/>
              </w:rPr>
              <w:t>Aircraft Fuel Cost per ASM (in US$ Cents)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Arial" w:cs="Arial" w:eastAsia="Arial" w:hAnsi="Arial"/>
                <w:sz w:val="14"/>
                <w:szCs w:val="14"/>
                <w:b w:val="1"/>
                <w:bCs w:val="1"/>
                <w:color w:val="auto"/>
              </w:rPr>
              <w:t>Operating Costs per ASM excluding fuel (in US$ Cents)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2024-08-09T05:25:01Z</dcterms:created>
  <dcterms:modified xsi:type="dcterms:W3CDTF">2024-08-09T05:25:01Z</dcterms:modified>
</cp:coreProperties>
</file>