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285115</wp:posOffset>
            </wp:positionH>
            <wp:positionV relativeFrom="page">
              <wp:posOffset>817880</wp:posOffset>
            </wp:positionV>
            <wp:extent cx="69780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8255"/>
                    </a:xfrm>
                    <a:prstGeom prst="rect">
                      <a:avLst/>
                    </a:prstGeom>
                    <a:noFill/>
                  </pic:spPr>
                </pic:pic>
              </a:graphicData>
            </a:graphic>
          </wp:anchor>
        </w:drawing>
        <w:drawing>
          <wp:anchor simplePos="0" relativeHeight="251657728" behindDoc="1" locked="0" layoutInCell="0" allowOverlap="1">
            <wp:simplePos x="0" y="0"/>
            <wp:positionH relativeFrom="page">
              <wp:posOffset>285115</wp:posOffset>
            </wp:positionH>
            <wp:positionV relativeFrom="page">
              <wp:posOffset>843280</wp:posOffset>
            </wp:positionV>
            <wp:extent cx="69780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8015"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1"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147"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98"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22"/>
          <w:szCs w:val="22"/>
          <w:b w:val="1"/>
          <w:bCs w:val="1"/>
          <w:color w:val="auto"/>
        </w:rPr>
        <w:t>Report of Foreign Issuer</w:t>
      </w:r>
    </w:p>
    <w:p>
      <w:pPr>
        <w:spacing w:after="0" w:line="22"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on Form 6-K dated for the month of October 2024</w:t>
      </w:r>
    </w:p>
    <w:p>
      <w:pPr>
        <w:spacing w:after="0" w:line="229"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Copa Holdings, S.A.</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192"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08"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Boulevard Costa del Este, Avenida Principal y Avenida de la Rotonda</w:t>
      </w:r>
    </w:p>
    <w:p>
      <w:pPr>
        <w:spacing w:after="0" w:line="29" w:lineRule="exact"/>
        <w:rPr>
          <w:sz w:val="24"/>
          <w:szCs w:val="24"/>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Urbanización Costa del Este</w:t>
      </w:r>
    </w:p>
    <w:p>
      <w:pPr>
        <w:jc w:val="center"/>
        <w:spacing w:after="0" w:line="234" w:lineRule="auto"/>
        <w:rPr>
          <w:sz w:val="20"/>
          <w:szCs w:val="20"/>
          <w:color w:val="auto"/>
        </w:rPr>
      </w:pPr>
      <w:r>
        <w:rPr>
          <w:rFonts w:ascii="Times New Roman" w:cs="Times New Roman" w:eastAsia="Times New Roman" w:hAnsi="Times New Roman"/>
          <w:sz w:val="18"/>
          <w:szCs w:val="18"/>
          <w:b w:val="1"/>
          <w:bCs w:val="1"/>
          <w:color w:val="auto"/>
        </w:rPr>
        <w:t>Complejo Business Park, Torre Norte</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ParqueLefevre</w:t>
      </w:r>
    </w:p>
    <w:p>
      <w:pPr>
        <w:jc w:val="center"/>
        <w:spacing w:after="0" w:line="235" w:lineRule="auto"/>
        <w:rPr>
          <w:sz w:val="20"/>
          <w:szCs w:val="20"/>
          <w:color w:val="auto"/>
        </w:rPr>
      </w:pPr>
      <w:r>
        <w:rPr>
          <w:rFonts w:ascii="Times New Roman" w:cs="Times New Roman" w:eastAsia="Times New Roman" w:hAnsi="Times New Roman"/>
          <w:sz w:val="18"/>
          <w:szCs w:val="18"/>
          <w:b w:val="1"/>
          <w:bCs w:val="1"/>
          <w:color w:val="auto"/>
        </w:rPr>
        <w:t>Panama City, Panama</w:t>
      </w: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5"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color w:val="auto"/>
        </w:rPr>
        <w:t>_______________________________________________</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252" w:lineRule="exact"/>
        <w:rPr>
          <w:sz w:val="24"/>
          <w:szCs w:val="24"/>
          <w:color w:val="auto"/>
        </w:rPr>
      </w:pPr>
    </w:p>
    <w:p>
      <w:pPr>
        <w:ind w:left="4420"/>
        <w:spacing w:after="0"/>
        <w:tabs>
          <w:tab w:leader="none" w:pos="6140" w:val="left"/>
        </w:tabs>
        <w:rPr>
          <w:sz w:val="20"/>
          <w:szCs w:val="20"/>
          <w:color w:val="auto"/>
        </w:rPr>
      </w:pPr>
      <w:r>
        <w:rPr>
          <w:rFonts w:ascii="Times New Roman" w:cs="Times New Roman" w:eastAsia="Times New Roman" w:hAnsi="Times New Roman"/>
          <w:sz w:val="18"/>
          <w:szCs w:val="18"/>
          <w:color w:val="auto"/>
        </w:rPr>
        <w:t xml:space="preserve">Form 20-F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 xml:space="preserve">Form 40-F </w:t>
      </w:r>
      <w:r>
        <w:rPr>
          <w:rFonts w:ascii="Wingdings" w:cs="Wingdings" w:eastAsia="Wingdings" w:hAnsi="Wingdings"/>
          <w:sz w:val="17"/>
          <w:szCs w:val="17"/>
          <w:b w:val="1"/>
          <w:bCs w:val="1"/>
          <w:color w:val="auto"/>
        </w:rPr>
        <w:t>o</w:t>
      </w:r>
    </w:p>
    <w:p>
      <w:pPr>
        <w:spacing w:after="0" w:line="225" w:lineRule="exact"/>
        <w:rPr>
          <w:sz w:val="24"/>
          <w:szCs w:val="24"/>
          <w:color w:val="auto"/>
        </w:rPr>
      </w:pPr>
    </w:p>
    <w:p>
      <w:pPr>
        <w:ind w:right="100" w:firstLine="1134"/>
        <w:spacing w:after="0" w:line="266" w:lineRule="auto"/>
        <w:rPr>
          <w:sz w:val="20"/>
          <w:szCs w:val="20"/>
          <w:color w:val="auto"/>
        </w:rPr>
      </w:pPr>
      <w:r>
        <w:rPr>
          <w:rFonts w:ascii="Times New Roman" w:cs="Times New Roman" w:eastAsia="Times New Roman" w:hAnsi="Times New Roman"/>
          <w:sz w:val="18"/>
          <w:szCs w:val="18"/>
          <w:color w:val="auto"/>
        </w:rPr>
        <w:t>(Indicate by check whether the registrant by furnishing the information contained in this Form is also thereby furnishing the information to the Commission pursuant to Rule 12g3-2(b) under the Securities Exchange Act of 1934.)</w:t>
      </w:r>
    </w:p>
    <w:p>
      <w:pPr>
        <w:spacing w:after="0" w:line="216" w:lineRule="exact"/>
        <w:rPr>
          <w:sz w:val="24"/>
          <w:szCs w:val="24"/>
          <w:color w:val="auto"/>
        </w:rPr>
      </w:pPr>
    </w:p>
    <w:p>
      <w:pPr>
        <w:ind w:left="4920"/>
        <w:spacing w:after="0"/>
        <w:tabs>
          <w:tab w:leader="none" w:pos="5980" w:val="left"/>
        </w:tabs>
        <w:rPr>
          <w:sz w:val="20"/>
          <w:szCs w:val="20"/>
          <w:color w:val="auto"/>
        </w:rPr>
      </w:pPr>
      <w:r>
        <w:rPr>
          <w:rFonts w:ascii="Times New Roman" w:cs="Times New Roman" w:eastAsia="Times New Roman" w:hAnsi="Times New Roman"/>
          <w:sz w:val="18"/>
          <w:szCs w:val="18"/>
          <w:color w:val="auto"/>
        </w:rPr>
        <w:t xml:space="preserve">Yes </w:t>
      </w:r>
      <w:r>
        <w:rPr>
          <w:rFonts w:ascii="Wingdings" w:cs="Wingdings" w:eastAsia="Wingdings" w:hAnsi="Wingdings"/>
          <w:sz w:val="18"/>
          <w:szCs w:val="18"/>
          <w:b w:val="1"/>
          <w:bCs w:val="1"/>
          <w:color w:val="auto"/>
        </w:rPr>
        <w:t>o</w:t>
      </w:r>
      <w:r>
        <w:rPr>
          <w:sz w:val="20"/>
          <w:szCs w:val="20"/>
          <w:color w:val="auto"/>
        </w:rPr>
        <w:tab/>
      </w:r>
      <w:r>
        <w:rPr>
          <w:rFonts w:ascii="Times New Roman" w:cs="Times New Roman" w:eastAsia="Times New Roman" w:hAnsi="Times New Roman"/>
          <w:sz w:val="17"/>
          <w:szCs w:val="17"/>
          <w:color w:val="auto"/>
        </w:rPr>
        <w:t xml:space="preserve">No </w:t>
      </w:r>
      <w:r>
        <w:rPr>
          <w:rFonts w:ascii="Wingdings" w:cs="Wingdings" w:eastAsia="Wingdings" w:hAnsi="Wingdings"/>
          <w:sz w:val="17"/>
          <w:szCs w:val="17"/>
          <w:b w:val="1"/>
          <w:bCs w:val="1"/>
          <w:color w:val="auto"/>
        </w:rPr>
        <w:t>x</w:t>
      </w:r>
    </w:p>
    <w:p>
      <w:pPr>
        <w:spacing w:after="0" w:line="225" w:lineRule="exact"/>
        <w:rPr>
          <w:sz w:val="24"/>
          <w:szCs w:val="24"/>
          <w:color w:val="auto"/>
        </w:rPr>
      </w:pPr>
    </w:p>
    <w:p>
      <w:pPr>
        <w:ind w:left="1140"/>
        <w:spacing w:after="0"/>
        <w:rPr>
          <w:sz w:val="20"/>
          <w:szCs w:val="20"/>
          <w:color w:val="auto"/>
        </w:rPr>
      </w:pPr>
      <w:r>
        <w:rPr>
          <w:rFonts w:ascii="Times New Roman" w:cs="Times New Roman" w:eastAsia="Times New Roman" w:hAnsi="Times New Roman"/>
          <w:sz w:val="18"/>
          <w:szCs w:val="18"/>
          <w:color w:val="auto"/>
        </w:rPr>
        <w:t>(If “Yes” is marked, indicate below the file number assigned to the registrant in connection with Rule 12g3-2(b);82- )</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COPA HOLDINGS’ BOARD OF DIRECTORS ELECTS EXECUTIVE CHAIRMAN</w:t>
      </w:r>
    </w:p>
    <w:p>
      <w:pPr>
        <w:spacing w:after="0" w:line="243"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Mr. Stanley Motta has informed the Board of Directors of Copa Holdings that he will step down from his role as non-executive Chairman of the Board effective June 30th, 2025. Mr. Motta plans to continue serving as an active member of the Copa Holdings Board as of that date.</w:t>
      </w:r>
    </w:p>
    <w:p>
      <w:pPr>
        <w:spacing w:after="0" w:line="18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has elected Mr. Pedro Heilbron to succeed Mr. Motta as Chairman effective July 1st, 2025. Mr. Heilbron will assume the role of Executive Chairman in addition to his current responsibilities as Chief Executive Officer.</w:t>
      </w:r>
    </w:p>
    <w:p>
      <w:pPr>
        <w:spacing w:after="0" w:line="18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To support Mr. Heilbron in his expanded role, the Company has created the position of Executive Vice President, reporting to Mr. Heilbron directly, and overseeing Copa Airlines’ Commercial and Operational areas.</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Copa Holdings</w:t>
      </w:r>
    </w:p>
    <w:p>
      <w:pPr>
        <w:spacing w:after="0" w:line="20" w:lineRule="exact"/>
        <w:rPr>
          <w:sz w:val="24"/>
          <w:szCs w:val="24"/>
          <w:color w:val="auto"/>
        </w:rPr>
      </w:pPr>
    </w:p>
    <w:p>
      <w:pPr>
        <w:spacing w:after="0" w:line="243" w:lineRule="auto"/>
        <w:rPr>
          <w:sz w:val="20"/>
          <w:szCs w:val="20"/>
          <w:color w:val="auto"/>
        </w:rPr>
      </w:pPr>
      <w:r>
        <w:rPr>
          <w:rFonts w:ascii="Times New Roman" w:cs="Times New Roman" w:eastAsia="Times New Roman" w:hAnsi="Times New Roman"/>
          <w:sz w:val="18"/>
          <w:szCs w:val="18"/>
          <w:i w:val="1"/>
          <w:iCs w:val="1"/>
          <w:color w:val="auto"/>
        </w:rPr>
        <w:t xml:space="preserve">Copa Holdings is a leading Latin American provider of passenger and cargo services. The Company, through its operating subsidiaries, provides service to destinations in North, Central and South America and the Caribbean. For more information visit: </w:t>
      </w:r>
      <w:r>
        <w:rPr>
          <w:rFonts w:ascii="Times New Roman" w:cs="Times New Roman" w:eastAsia="Times New Roman" w:hAnsi="Times New Roman"/>
          <w:sz w:val="18"/>
          <w:szCs w:val="18"/>
          <w:i w:val="1"/>
          <w:iCs w:val="1"/>
          <w:color w:val="0000FF"/>
        </w:rPr>
        <w:t>www.copa.com</w:t>
      </w:r>
      <w:r>
        <w:rPr>
          <w:rFonts w:ascii="Times New Roman" w:cs="Times New Roman" w:eastAsia="Times New Roman" w:hAnsi="Times New Roman"/>
          <w:sz w:val="18"/>
          <w:szCs w:val="18"/>
          <w:i w:val="1"/>
          <w:iCs w:val="1"/>
          <w:color w:val="auto"/>
        </w:rPr>
        <w:t>.</w:t>
      </w:r>
    </w:p>
    <w:p>
      <w:pPr>
        <w:sectPr>
          <w:pgSz w:w="11900" w:h="16838" w:orient="portrait"/>
          <w:cols w:equalWidth="0" w:num="1">
            <w:col w:w="11240"/>
          </w:cols>
          <w:pgMar w:left="320" w:top="1402" w:right="339" w:bottom="782" w:gutter="0" w:footer="0" w:header="0"/>
        </w:sectPr>
      </w:pPr>
    </w:p>
    <w:bookmarkStart w:id="1" w:name="page2"/>
    <w:bookmarkEnd w:id="1"/>
    <w:p>
      <w:pPr>
        <w:spacing w:after="0" w:line="243" w:lineRule="auto"/>
        <w:rPr>
          <w:sz w:val="20"/>
          <w:szCs w:val="20"/>
          <w:color w:val="auto"/>
        </w:rPr>
      </w:pPr>
    </w:p>
    <w:p>
      <w:pPr>
        <w:sectPr>
          <w:pgSz w:w="11900" w:h="16838" w:orient="portrait"/>
          <w:cols w:equalWidth="1" w:num="1" w:space="0"/>
          <w:pgMar w:left="1440" w:top="1440" w:right="1440" w:bottom="875"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3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93"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Copa Holdings, S.A.</w:t>
      </w:r>
    </w:p>
    <w:p>
      <w:pPr>
        <w:ind w:left="5480"/>
        <w:spacing w:after="0"/>
        <w:rPr>
          <w:sz w:val="20"/>
          <w:szCs w:val="20"/>
          <w:color w:val="auto"/>
        </w:rPr>
      </w:pPr>
      <w:r>
        <w:rPr>
          <w:rFonts w:ascii="Times New Roman" w:cs="Times New Roman" w:eastAsia="Times New Roman" w:hAnsi="Times New Roman"/>
          <w:sz w:val="18"/>
          <w:szCs w:val="18"/>
          <w:color w:val="auto"/>
        </w:rPr>
        <w:t>(Registrant)</w:t>
      </w:r>
    </w:p>
    <w:p>
      <w:pPr>
        <w:spacing w:after="0" w:line="3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 xml:space="preserve">Date: </w:t>
      </w:r>
      <w:r>
        <w:rPr>
          <w:rFonts w:ascii="Times New Roman" w:cs="Times New Roman" w:eastAsia="Times New Roman" w:hAnsi="Times New Roman"/>
          <w:sz w:val="18"/>
          <w:szCs w:val="18"/>
          <w:u w:val="single" w:color="auto"/>
          <w:color w:val="auto"/>
        </w:rPr>
        <w:t>10/9/2024</w:t>
      </w:r>
    </w:p>
    <w:p>
      <w:pPr>
        <w:spacing w:after="0" w:line="50" w:lineRule="exact"/>
        <w:rPr>
          <w:sz w:val="20"/>
          <w:szCs w:val="20"/>
          <w:color w:val="auto"/>
        </w:rPr>
      </w:pPr>
    </w:p>
    <w:p>
      <w:pPr>
        <w:ind w:left="5480"/>
        <w:spacing w:after="0"/>
        <w:tabs>
          <w:tab w:leader="none" w:pos="60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José Montero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8"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Name: José Montero</w:t>
      </w:r>
    </w:p>
    <w:p>
      <w:pPr>
        <w:ind w:left="6100"/>
        <w:spacing w:after="0"/>
        <w:rPr>
          <w:sz w:val="20"/>
          <w:szCs w:val="20"/>
          <w:color w:val="auto"/>
        </w:rPr>
      </w:pPr>
      <w:r>
        <w:rPr>
          <w:rFonts w:ascii="Times New Roman" w:cs="Times New Roman" w:eastAsia="Times New Roman" w:hAnsi="Times New Roman"/>
          <w:sz w:val="18"/>
          <w:szCs w:val="18"/>
          <w:color w:val="auto"/>
        </w:rPr>
        <w:t>Title: CFO</w:t>
      </w:r>
    </w:p>
    <w:sectPr>
      <w:pgSz w:w="11900" w:h="16838" w:orient="portrait"/>
      <w:cols w:equalWidth="0" w:num="1">
        <w:col w:w="10280"/>
      </w:cols>
      <w:pgMar w:left="320" w:top="1359"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2024-10-09T08:15:55Z</dcterms:created>
  <dcterms:modified xsi:type="dcterms:W3CDTF">2024-10-09T08:15:55Z</dcterms:modified>
</cp:coreProperties>
</file>