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October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lineRule="auto" w:line="288" w:before="240" w:after="283"/>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Monthly Traffic Statistics for September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37" w:type="dxa"/>
        <w:jc w:val="left"/>
        <w:tblInd w:w="0" w:type="dxa"/>
        <w:tblLayout w:type="fixed"/>
        <w:tblCellMar>
          <w:top w:w="28" w:type="dxa"/>
          <w:left w:w="28" w:type="dxa"/>
          <w:bottom w:w="28" w:type="dxa"/>
          <w:right w:w="28" w:type="dxa"/>
        </w:tblCellMar>
      </w:tblPr>
      <w:tblGrid>
        <w:gridCol w:w="472"/>
        <w:gridCol w:w="415"/>
        <w:gridCol w:w="417"/>
        <w:gridCol w:w="286"/>
        <w:gridCol w:w="286"/>
        <w:gridCol w:w="286"/>
        <w:gridCol w:w="630"/>
        <w:gridCol w:w="630"/>
        <w:gridCol w:w="91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30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10/8/26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lineRule="auto" w:line="276" w:before="240" w:after="283"/>
        <w:jc w:val="center"/>
        <w:rPr>
          <w:rFonts w:ascii="Arial;sans-serif" w:hAnsi="Arial;sans-serif"/>
          <w:b/>
          <w:color w:val="000000"/>
          <w:sz w:val="20"/>
        </w:rPr>
      </w:pPr>
      <w:r>
        <w:rPr>
          <w:rFonts w:ascii="Arial;sans-serif" w:hAnsi="Arial;sans-serif"/>
          <w:b/>
          <w:color w:val="000000"/>
          <w:sz w:val="20"/>
        </w:rPr>
        <w:t>Copa Holdings Announces Monthly Traffic Statistics for September 2026</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PANAMA CITY, October 8, 2026 (GLOBE NEWSWIRE) -- Copa Holdings, S.A. (NYSE: CPA) today released preliminary passenger traffic statistics for September 2026:</w:t>
      </w:r>
    </w:p>
    <w:tbl>
      <w:tblPr>
        <w:tblW w:w="6633" w:type="dxa"/>
        <w:jc w:val="left"/>
        <w:tblInd w:w="0" w:type="dxa"/>
        <w:tblLayout w:type="fixed"/>
        <w:tblCellMar>
          <w:top w:w="28" w:type="dxa"/>
          <w:left w:w="28" w:type="dxa"/>
          <w:bottom w:w="28" w:type="dxa"/>
          <w:right w:w="28" w:type="dxa"/>
        </w:tblCellMar>
      </w:tblPr>
      <w:tblGrid>
        <w:gridCol w:w="1054"/>
        <w:gridCol w:w="926"/>
        <w:gridCol w:w="930"/>
        <w:gridCol w:w="270"/>
        <w:gridCol w:w="271"/>
        <w:gridCol w:w="665"/>
        <w:gridCol w:w="270"/>
        <w:gridCol w:w="271"/>
        <w:gridCol w:w="665"/>
        <w:gridCol w:w="270"/>
        <w:gridCol w:w="271"/>
        <w:gridCol w:w="770"/>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Copa Holdings (Consolidated)</w:t>
            </w:r>
          </w:p>
        </w:tc>
        <w:tc>
          <w:tcPr>
            <w:tcW w:w="12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September </w:t>
              <w:br/>
              <w:t>2026</w:t>
            </w:r>
          </w:p>
        </w:tc>
        <w:tc>
          <w:tcPr>
            <w:tcW w:w="120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September </w:t>
              <w:br/>
              <w:t>2025</w:t>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ASM (mm) </w:t>
            </w:r>
            <w:r>
              <w:rPr>
                <w:rFonts w:ascii="Arial;sans-serif" w:hAnsi="Arial;sans-serif"/>
                <w:b w:val="false"/>
                <w:color w:val="000000"/>
                <w:sz w:val="13"/>
              </w:rPr>
              <w:t>(1)</w:t>
            </w:r>
          </w:p>
        </w:tc>
        <w:tc>
          <w:tcPr>
            <w:tcW w:w="12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3,041.0</w:t>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2,628.2</w:t>
            </w:r>
          </w:p>
        </w:tc>
        <w:tc>
          <w:tcPr>
            <w:tcW w:w="5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RPM (mm) </w:t>
            </w:r>
            <w:r>
              <w:rPr>
                <w:rFonts w:ascii="Arial;sans-serif" w:hAnsi="Arial;sans-serif"/>
                <w:b w:val="false"/>
                <w:color w:val="000000"/>
                <w:sz w:val="13"/>
              </w:rPr>
              <w:t>(2)</w:t>
            </w:r>
          </w:p>
        </w:tc>
        <w:tc>
          <w:tcPr>
            <w:tcW w:w="1206"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2,674.4</w:t>
            </w:r>
          </w:p>
        </w:tc>
        <w:tc>
          <w:tcPr>
            <w:tcW w:w="120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2,283.1</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77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20"/>
              </w:rPr>
              <w:t xml:space="preserve">Load Factor </w:t>
            </w:r>
            <w:r>
              <w:rPr>
                <w:rFonts w:ascii="Arial;sans-serif" w:hAnsi="Arial;sans-serif"/>
                <w:b w:val="false"/>
                <w:color w:val="000000"/>
                <w:sz w:val="13"/>
              </w:rPr>
              <w:t>(3)</w:t>
            </w:r>
          </w:p>
        </w:tc>
        <w:tc>
          <w:tcPr>
            <w:tcW w:w="541" w:type="dxa"/>
            <w:gridSpan w:val="2"/>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87.9</w:t>
            </w:r>
            <w:r>
              <w:rPr>
                <w:color w:val="000000"/>
              </w:rPr>
              <w:t> </w:t>
            </w:r>
          </w:p>
        </w:tc>
        <w:tc>
          <w:tcPr>
            <w:tcW w:w="665"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86.9</w:t>
            </w:r>
            <w:r>
              <w:rPr>
                <w:color w:val="000000"/>
              </w:rPr>
              <w:t> </w:t>
            </w:r>
          </w:p>
        </w:tc>
        <w:tc>
          <w:tcPr>
            <w:tcW w:w="665"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1.1</w:t>
            </w:r>
            <w:r>
              <w:rPr>
                <w:color w:val="000000"/>
              </w:rPr>
              <w:t> </w:t>
            </w:r>
          </w:p>
        </w:tc>
        <w:tc>
          <w:tcPr>
            <w:tcW w:w="770"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20"/>
              </w:rPr>
            </w:pPr>
            <w:r>
              <w:rPr>
                <w:rFonts w:ascii="Arial;sans-serif" w:hAnsi="Arial;sans-serif"/>
                <w:b/>
                <w:color w:val="000000"/>
                <w:sz w:val="20"/>
              </w:rPr>
              <w:t>p.p.</w:t>
            </w:r>
          </w:p>
        </w:tc>
      </w:tr>
    </w:tbl>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1.Available seat miles - represents the aircraft seating capacity multiplied by the number of miles the seats are flown.</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2.Revenue passenger miles - represents the number of miles flown by revenue passengers</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3.Load factor - represents the percentage of aircraft seating capacity that is utilized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September 2026, Copa Holdings' capacity (ASMs) increased by 15.7%, while system-wide passenger traffic (RPMs) increased by 17.1% compared to 2025. As a result, the system load factor for the month was 87.9%, 1.1 percentage points higher than in September 2025.</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CPA-G</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417</Words>
  <Characters>2534</Characters>
  <CharactersWithSpaces>2892</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