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jc w:val="center"/>
        <w:rPr>
          <w:rFonts w:ascii="Times New Roman;serif" w:hAnsi="Times New Roman;serif"/>
          <w:b/>
          <w:color w:val="000000"/>
          <w:sz w:val="24"/>
        </w:rPr>
      </w:pPr>
      <w:r>
        <w:rPr>
          <w:rFonts w:ascii="Times New Roman;serif" w:hAnsi="Times New Roman;serif"/>
          <w:b/>
          <w:color w:val="000000"/>
          <w:sz w:val="24"/>
        </w:rPr>
        <w:t>Report of Foreign Issuer</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Report on Form 6-K dated for the month of August 2026</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jc w:val="center"/>
        <w:rPr>
          <w:rFonts w:ascii="Times New Roman;serif" w:hAnsi="Times New Roman;serif"/>
          <w:b/>
          <w:color w:val="000000"/>
          <w:sz w:val="48"/>
        </w:rPr>
      </w:pPr>
      <w:r>
        <w:rPr>
          <w:rFonts w:ascii="Times New Roman;serif" w:hAnsi="Times New Roman;serif"/>
          <w:b/>
          <w:color w:val="000000"/>
          <w:sz w:val="48"/>
        </w:rPr>
        <w:t>Copa Holdings, S.A.</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(Translation of Registrant’s Name Into English)</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Boulevard Costa del Este, Avenida Principal y Avenida de la Rotonda</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Urbanización Costa del Este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Complejo Business Park, Torre Norte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ParqueLefevre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Panama City, Panama</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tbl>
      <w:tblPr>
        <w:tblW w:w="3583" w:type="dxa"/>
        <w:jc w:val="center"/>
        <w:tblInd w:w="0" w:type="dxa"/>
        <w:tblLayout w:type="fixed"/>
        <w:tblCellMar>
          <w:top w:w="28" w:type="dxa"/>
          <w:left w:w="28" w:type="dxa"/>
          <w:bottom w:w="28" w:type="dxa"/>
          <w:right w:w="28" w:type="dxa"/>
        </w:tblCellMar>
      </w:tblPr>
      <w:tblGrid>
        <w:gridCol w:w="124"/>
        <w:gridCol w:w="109"/>
        <w:gridCol w:w="109"/>
        <w:gridCol w:w="314"/>
        <w:gridCol w:w="314"/>
        <w:gridCol w:w="316"/>
        <w:gridCol w:w="109"/>
        <w:gridCol w:w="109"/>
        <w:gridCol w:w="109"/>
        <w:gridCol w:w="109"/>
        <w:gridCol w:w="109"/>
        <w:gridCol w:w="109"/>
        <w:gridCol w:w="314"/>
        <w:gridCol w:w="314"/>
        <w:gridCol w:w="31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Form 20-F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Form 40-F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(Indicate by check whether the registrant by furnishing the information contained in this Form is also thereby furnishing the information to the Commission pursuant to Rule 12g3-2(b) under the Securities Exchange Act of 1934.)</w:t>
      </w:r>
    </w:p>
    <w:tbl>
      <w:tblPr>
        <w:tblW w:w="2447" w:type="dxa"/>
        <w:jc w:val="center"/>
        <w:tblInd w:w="0" w:type="dxa"/>
        <w:tblLayout w:type="fixed"/>
        <w:tblCellMar>
          <w:top w:w="28" w:type="dxa"/>
          <w:left w:w="28" w:type="dxa"/>
          <w:bottom w:w="28" w:type="dxa"/>
          <w:right w:w="28" w:type="dxa"/>
        </w:tblCellMar>
      </w:tblPr>
      <w:tblGrid>
        <w:gridCol w:w="124"/>
        <w:gridCol w:w="109"/>
        <w:gridCol w:w="109"/>
        <w:gridCol w:w="135"/>
        <w:gridCol w:w="135"/>
        <w:gridCol w:w="136"/>
        <w:gridCol w:w="109"/>
        <w:gridCol w:w="109"/>
        <w:gridCol w:w="109"/>
        <w:gridCol w:w="109"/>
        <w:gridCol w:w="109"/>
        <w:gridCol w:w="109"/>
        <w:gridCol w:w="115"/>
        <w:gridCol w:w="115"/>
        <w:gridCol w:w="11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(If “Yes” is marked, indicate below the file number assigned to the registrant in connection with Rule 12g3-2(b);82- )</w:t>
      </w:r>
    </w:p>
    <w:p>
      <w:pPr>
        <w:pStyle w:val="TextBody"/>
        <w:bidi w:val="0"/>
        <w:spacing w:lineRule="auto" w:line="288" w:before="240" w:after="283"/>
        <w:jc w:val="left"/>
        <w:rPr/>
      </w:pPr>
      <w:r>
        <w:rPr>
          <w:rFonts w:ascii="Times New Roman;serif" w:hAnsi="Times New Roman;serif"/>
          <w:b w:val="false"/>
          <w:color w:val="000000"/>
          <w:sz w:val="20"/>
        </w:rPr>
        <w:t xml:space="preserve">Enclosure: Press Release </w:t>
      </w:r>
      <w:r>
        <w:rPr>
          <w:rFonts w:ascii="Times New Roman;serif" w:hAnsi="Times New Roman;serif"/>
          <w:b w:val="false"/>
          <w:color w:val="000000"/>
          <w:sz w:val="16"/>
        </w:rPr>
        <w:t xml:space="preserve">- </w:t>
      </w:r>
      <w:r>
        <w:rPr>
          <w:rFonts w:ascii="Arial;sans-serif" w:hAnsi="Arial;sans-serif"/>
          <w:b/>
          <w:color w:val="000000"/>
          <w:sz w:val="16"/>
        </w:rPr>
        <w:t>Copa Holdings Announces Monthly Traffic Statistics for July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3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320"/>
                        <w:jc w:val="left"/>
                        <w:rPr/>
                      </w:pPr>
                      <w:r>
                        <w:rPr/>
                      </w:r>
                    </w:p>
                  </w:txbxContent>
                </v:textbox>
                <w10:wrap type="none"/>
              </v:rect>
            </w:pict>
          </mc:Fallback>
        </mc:AlternateContent>
      </w:r>
    </w:p>
    <w:p>
      <w:pPr>
        <w:pStyle w:val="TextBody"/>
        <w:bidi w:val="0"/>
        <w:spacing w:lineRule="auto" w:line="276" w:before="480" w:after="283"/>
        <w:ind w:left="0" w:right="0" w:hanging="284"/>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4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233" w:type="dxa"/>
        <w:jc w:val="left"/>
        <w:tblInd w:w="0" w:type="dxa"/>
        <w:tblLayout w:type="fixed"/>
        <w:tblCellMar>
          <w:top w:w="28" w:type="dxa"/>
          <w:left w:w="28" w:type="dxa"/>
          <w:bottom w:w="28" w:type="dxa"/>
          <w:right w:w="28" w:type="dxa"/>
        </w:tblCellMar>
      </w:tblPr>
      <w:tblGrid>
        <w:gridCol w:w="434"/>
        <w:gridCol w:w="382"/>
        <w:gridCol w:w="384"/>
        <w:gridCol w:w="286"/>
        <w:gridCol w:w="286"/>
        <w:gridCol w:w="286"/>
        <w:gridCol w:w="630"/>
        <w:gridCol w:w="630"/>
        <w:gridCol w:w="915"/>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Copa Holdings, S.A. </w:t>
              <w:br/>
              <w:t>(Registrant)</w:t>
            </w:r>
          </w:p>
        </w:tc>
      </w:tr>
      <w:tr>
        <w:trPr/>
        <w:tc>
          <w:tcPr>
            <w:tcW w:w="120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color w:val="000000"/>
              </w:rPr>
              <w:t> </w:t>
            </w:r>
            <w:r>
              <w:rPr>
                <w:rFonts w:ascii="Times New Roman;serif" w:hAnsi="Times New Roman;serif"/>
                <w:b w:val="false"/>
                <w:color w:val="000000"/>
                <w:sz w:val="20"/>
              </w:rPr>
              <w:t xml:space="preserve">Date: </w:t>
            </w:r>
            <w:r>
              <w:rPr>
                <w:rFonts w:ascii="Times New Roman;serif" w:hAnsi="Times New Roman;serif"/>
                <w:b w:val="false"/>
                <w:color w:val="000000"/>
                <w:sz w:val="20"/>
                <w:u w:val="single"/>
              </w:rPr>
              <w:t>8/4/26</w:t>
            </w:r>
          </w:p>
        </w:tc>
        <w:tc>
          <w:tcPr>
            <w:tcW w:w="30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1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Peter Donkersloot</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Peter Donkersloot</w:t>
              <w:br/>
              <w:t>Title: CFO</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20"/>
        </w:rPr>
      </w:pPr>
      <w:r>
        <w:rPr>
          <w:rFonts w:ascii="Arial;sans-serif" w:hAnsi="Arial;sans-serif"/>
          <w:b/>
          <w:color w:val="000000"/>
          <w:sz w:val="20"/>
        </w:rPr>
        <w:t xml:space="preserve">Exhibit 99.1 </w:t>
      </w:r>
    </w:p>
    <w:p>
      <w:pPr>
        <w:pStyle w:val="TextBody"/>
        <w:bidi w:val="0"/>
        <w:spacing w:lineRule="auto" w:line="276" w:before="240" w:after="283"/>
        <w:jc w:val="center"/>
        <w:rPr>
          <w:rFonts w:ascii="Arial;sans-serif" w:hAnsi="Arial;sans-serif"/>
          <w:b/>
          <w:color w:val="000000"/>
          <w:sz w:val="20"/>
        </w:rPr>
      </w:pPr>
      <w:r>
        <w:rPr>
          <w:rFonts w:ascii="Arial;sans-serif" w:hAnsi="Arial;sans-serif"/>
          <w:b/>
          <w:color w:val="000000"/>
          <w:sz w:val="20"/>
        </w:rPr>
        <w:t>Copa Holdings Announces Monthly Traffic Statistics for July 2026</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PANAMA CITY, August 4, 2026 (GLOBE NEWSWIRE) -- Copa Holdings, S.A. (NYSE: CPA) today released preliminary passenger traffic statistics for July 2026:</w:t>
      </w:r>
    </w:p>
    <w:tbl>
      <w:tblPr>
        <w:tblW w:w="6161" w:type="dxa"/>
        <w:jc w:val="left"/>
        <w:tblInd w:w="0" w:type="dxa"/>
        <w:tblLayout w:type="fixed"/>
        <w:tblCellMar>
          <w:top w:w="28" w:type="dxa"/>
          <w:left w:w="28" w:type="dxa"/>
          <w:bottom w:w="28" w:type="dxa"/>
          <w:right w:w="28" w:type="dxa"/>
        </w:tblCellMar>
      </w:tblPr>
      <w:tblGrid>
        <w:gridCol w:w="1054"/>
        <w:gridCol w:w="926"/>
        <w:gridCol w:w="930"/>
        <w:gridCol w:w="270"/>
        <w:gridCol w:w="271"/>
        <w:gridCol w:w="429"/>
        <w:gridCol w:w="270"/>
        <w:gridCol w:w="271"/>
        <w:gridCol w:w="429"/>
        <w:gridCol w:w="270"/>
        <w:gridCol w:w="271"/>
        <w:gridCol w:w="770"/>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Copa Holdings (Consolidated)</w:t>
            </w:r>
          </w:p>
        </w:tc>
        <w:tc>
          <w:tcPr>
            <w:tcW w:w="9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 xml:space="preserve">July </w:t>
              <w:br/>
              <w:t>2026</w:t>
            </w:r>
          </w:p>
        </w:tc>
        <w:tc>
          <w:tcPr>
            <w:tcW w:w="9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 xml:space="preserve">July </w:t>
              <w:br/>
              <w:t>2025</w:t>
            </w:r>
          </w:p>
        </w:tc>
        <w:tc>
          <w:tcPr>
            <w:tcW w:w="13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right"/>
              <w:rPr/>
            </w:pPr>
            <w:r>
              <w:rPr>
                <w:rFonts w:ascii="Arial;sans-serif" w:hAnsi="Arial;sans-serif"/>
                <w:b w:val="false"/>
                <w:color w:val="000000"/>
                <w:sz w:val="20"/>
              </w:rPr>
              <w:t xml:space="preserve">ASM (mm) </w:t>
            </w:r>
            <w:r>
              <w:rPr>
                <w:rFonts w:ascii="Arial;sans-serif" w:hAnsi="Arial;sans-serif"/>
                <w:b w:val="false"/>
                <w:color w:val="000000"/>
                <w:sz w:val="13"/>
              </w:rPr>
              <w:t>(1)</w:t>
            </w:r>
          </w:p>
        </w:tc>
        <w:tc>
          <w:tcPr>
            <w:tcW w:w="97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3,316.7</w:t>
            </w:r>
          </w:p>
        </w:tc>
        <w:tc>
          <w:tcPr>
            <w:tcW w:w="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2,854.8</w:t>
            </w:r>
          </w:p>
        </w:tc>
        <w:tc>
          <w:tcPr>
            <w:tcW w:w="54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770"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910"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Arial;sans-serif" w:hAnsi="Arial;sans-serif"/>
                <w:b w:val="false"/>
                <w:color w:val="000000"/>
                <w:sz w:val="20"/>
              </w:rPr>
              <w:t xml:space="preserve">RPM (mm) </w:t>
            </w:r>
            <w:r>
              <w:rPr>
                <w:rFonts w:ascii="Arial;sans-serif" w:hAnsi="Arial;sans-serif"/>
                <w:b w:val="false"/>
                <w:color w:val="000000"/>
                <w:sz w:val="13"/>
              </w:rPr>
              <w:t>(2)</w:t>
            </w:r>
          </w:p>
        </w:tc>
        <w:tc>
          <w:tcPr>
            <w:tcW w:w="970" w:type="dxa"/>
            <w:gridSpan w:val="3"/>
            <w:tcBorders>
              <w:left w:val="single" w:sz="8" w:space="0" w:color="000000"/>
            </w:tcBorders>
            <w:tcMar>
              <w:top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2,973.6</w:t>
            </w:r>
          </w:p>
        </w:tc>
        <w:tc>
          <w:tcPr>
            <w:tcW w:w="97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2,533.7</w:t>
            </w:r>
          </w:p>
        </w:tc>
        <w:tc>
          <w:tcPr>
            <w:tcW w:w="5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770"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910"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Arial;sans-serif" w:hAnsi="Arial;sans-serif"/>
                <w:b/>
                <w:color w:val="000000"/>
                <w:sz w:val="20"/>
              </w:rPr>
              <w:t xml:space="preserve">Load Factor </w:t>
            </w:r>
            <w:r>
              <w:rPr>
                <w:rFonts w:ascii="Arial;sans-serif" w:hAnsi="Arial;sans-serif"/>
                <w:b w:val="false"/>
                <w:color w:val="000000"/>
                <w:sz w:val="13"/>
              </w:rPr>
              <w:t>(3)</w:t>
            </w:r>
          </w:p>
        </w:tc>
        <w:tc>
          <w:tcPr>
            <w:tcW w:w="541" w:type="dxa"/>
            <w:gridSpan w:val="2"/>
            <w:tcBorders>
              <w:left w:val="single" w:sz="8" w:space="0" w:color="000000"/>
            </w:tcBorders>
            <w:tcMar>
              <w:top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20"/>
              </w:rPr>
              <w:t>89.7</w:t>
            </w:r>
            <w:r>
              <w:rPr>
                <w:color w:val="000000"/>
              </w:rPr>
              <w:t> </w:t>
            </w:r>
          </w:p>
        </w:tc>
        <w:tc>
          <w:tcPr>
            <w:tcW w:w="429"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w:t>
            </w:r>
          </w:p>
        </w:tc>
        <w:tc>
          <w:tcPr>
            <w:tcW w:w="54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20"/>
              </w:rPr>
              <w:t>88.8</w:t>
            </w:r>
            <w:r>
              <w:rPr>
                <w:color w:val="000000"/>
              </w:rPr>
              <w:t> </w:t>
            </w:r>
          </w:p>
        </w:tc>
        <w:tc>
          <w:tcPr>
            <w:tcW w:w="429"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w:t>
            </w:r>
          </w:p>
        </w:tc>
        <w:tc>
          <w:tcPr>
            <w:tcW w:w="54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20"/>
              </w:rPr>
              <w:t>0.9</w:t>
            </w:r>
            <w:r>
              <w:rPr>
                <w:color w:val="000000"/>
              </w:rPr>
              <w:t> </w:t>
            </w:r>
          </w:p>
        </w:tc>
        <w:tc>
          <w:tcPr>
            <w:tcW w:w="770"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20"/>
              </w:rPr>
            </w:pPr>
            <w:r>
              <w:rPr>
                <w:rFonts w:ascii="Arial;sans-serif" w:hAnsi="Arial;sans-serif"/>
                <w:b/>
                <w:color w:val="000000"/>
                <w:sz w:val="20"/>
              </w:rPr>
              <w:t>p.p.</w:t>
            </w:r>
          </w:p>
        </w:tc>
      </w:tr>
    </w:tbl>
    <w:p>
      <w:pPr>
        <w:pStyle w:val="TextBody"/>
        <w:bidi w:val="0"/>
        <w:spacing w:before="0" w:after="0"/>
        <w:ind w:left="0" w:right="0" w:firstLine="180"/>
        <w:jc w:val="left"/>
        <w:rPr/>
      </w:pPr>
      <w:r>
        <w:rPr/>
      </w:r>
    </w:p>
    <w:p>
      <w:pPr>
        <w:pStyle w:val="TextBody"/>
        <w:bidi w:val="0"/>
        <w:spacing w:lineRule="auto" w:line="276" w:before="0" w:after="0"/>
        <w:ind w:left="0" w:right="0" w:hanging="180"/>
        <w:jc w:val="left"/>
        <w:rPr>
          <w:rFonts w:ascii="Arial;sans-serif" w:hAnsi="Arial;sans-serif"/>
          <w:b w:val="false"/>
          <w:color w:val="000000"/>
          <w:sz w:val="16"/>
        </w:rPr>
      </w:pPr>
      <w:r>
        <w:rPr>
          <w:rFonts w:ascii="Arial;sans-serif" w:hAnsi="Arial;sans-serif"/>
          <w:b w:val="false"/>
          <w:color w:val="000000"/>
          <w:sz w:val="16"/>
        </w:rPr>
        <w:t>1.Available seat miles - represents the aircraft seating capacity multiplied by the number of miles the seats are flown.</w:t>
      </w:r>
    </w:p>
    <w:p>
      <w:pPr>
        <w:pStyle w:val="TextBody"/>
        <w:bidi w:val="0"/>
        <w:spacing w:lineRule="auto" w:line="276" w:before="0" w:after="0"/>
        <w:ind w:left="0" w:right="0" w:hanging="180"/>
        <w:jc w:val="left"/>
        <w:rPr>
          <w:rFonts w:ascii="Arial;sans-serif" w:hAnsi="Arial;sans-serif"/>
          <w:b w:val="false"/>
          <w:color w:val="000000"/>
          <w:sz w:val="16"/>
        </w:rPr>
      </w:pPr>
      <w:r>
        <w:rPr>
          <w:rFonts w:ascii="Arial;sans-serif" w:hAnsi="Arial;sans-serif"/>
          <w:b w:val="false"/>
          <w:color w:val="000000"/>
          <w:sz w:val="16"/>
        </w:rPr>
        <w:t>2.Revenue passenger miles - represents the number of miles flown by revenue passengers</w:t>
      </w:r>
    </w:p>
    <w:p>
      <w:pPr>
        <w:pStyle w:val="TextBody"/>
        <w:bidi w:val="0"/>
        <w:spacing w:lineRule="auto" w:line="276" w:before="0" w:after="0"/>
        <w:ind w:left="0" w:right="0" w:hanging="180"/>
        <w:jc w:val="left"/>
        <w:rPr>
          <w:rFonts w:ascii="Arial;sans-serif" w:hAnsi="Arial;sans-serif"/>
          <w:b w:val="false"/>
          <w:color w:val="000000"/>
          <w:sz w:val="16"/>
        </w:rPr>
      </w:pPr>
      <w:r>
        <w:rPr>
          <w:rFonts w:ascii="Arial;sans-serif" w:hAnsi="Arial;sans-serif"/>
          <w:b w:val="false"/>
          <w:color w:val="000000"/>
          <w:sz w:val="16"/>
        </w:rPr>
        <w:t xml:space="preserve">3.Load factor - represents the percentage of aircraft seating capacity that is utilized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For July 2026, Copa Holdings' capacity (ASMs) increased by 16.2%, while system-wide passenger traffic (RPMs) increased by 17.4% compared to 2025. As a result, the system load factor for the month was 89.7%, 0.9 percentage points higher than in July 2025.</w:t>
      </w:r>
    </w:p>
    <w:p>
      <w:pPr>
        <w:pStyle w:val="TextBody"/>
        <w:bidi w:val="0"/>
        <w:spacing w:lineRule="auto" w:line="268" w:before="240" w:after="283"/>
        <w:jc w:val="both"/>
        <w:rPr>
          <w:rFonts w:ascii="Arial;sans-serif" w:hAnsi="Arial;sans-serif"/>
          <w:b w:val="false"/>
          <w:i/>
          <w:color w:val="000000"/>
          <w:sz w:val="20"/>
        </w:rPr>
      </w:pPr>
      <w:r>
        <w:rPr>
          <w:rFonts w:ascii="Arial;sans-serif" w:hAnsi="Arial;sans-serif"/>
          <w:b w:val="false"/>
          <w:i/>
          <w:color w:val="000000"/>
          <w:sz w:val="20"/>
        </w:rPr>
        <w:t>Copa Holdings is a leading Latin American provider of passenger and cargo services. The Company, through its operating subsidiaries, provides service to countries in North, Central, and South America and the Caribbean. For more information, visit ir.copaair.com.</w:t>
      </w:r>
    </w:p>
    <w:p>
      <w:pPr>
        <w:pStyle w:val="TextBody"/>
        <w:bidi w:val="0"/>
        <w:spacing w:lineRule="auto" w:line="276" w:before="240" w:after="283"/>
        <w:jc w:val="left"/>
        <w:rPr>
          <w:rFonts w:ascii="Arial;sans-serif" w:hAnsi="Arial;sans-serif"/>
          <w:b w:val="false"/>
          <w:color w:val="000000"/>
          <w:sz w:val="20"/>
        </w:rPr>
      </w:pPr>
      <w:r>
        <w:rPr>
          <w:rFonts w:ascii="Arial;sans-serif" w:hAnsi="Arial;sans-serif"/>
          <w:b w:val="false"/>
          <w:color w:val="000000"/>
          <w:sz w:val="20"/>
        </w:rPr>
        <w:t>CPA-G</w:t>
      </w:r>
    </w:p>
    <w:p>
      <w:pPr>
        <w:pStyle w:val="TextBody"/>
        <w:bidi w:val="0"/>
        <w:spacing w:lineRule="auto" w:line="268" w:before="240" w:after="283"/>
        <w:jc w:val="both"/>
        <w:rPr>
          <w:rFonts w:ascii="Arial;sans-serif" w:hAnsi="Arial;sans-serif"/>
          <w:b/>
          <w:color w:val="000000"/>
          <w:sz w:val="20"/>
        </w:rPr>
      </w:pPr>
      <w:r>
        <w:rPr>
          <w:rFonts w:ascii="Arial;sans-serif" w:hAnsi="Arial;sans-serif"/>
          <w:b/>
          <w:color w:val="000000"/>
          <w:sz w:val="20"/>
        </w:rPr>
        <w:t xml:space="preserve">Investor Relations </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investor.relations@copaair.com</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417</Words>
  <Characters>2496</Characters>
  <CharactersWithSpaces>2854</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