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76" w:before="400" w:after="283"/>
        <w:jc w:val="center"/>
        <w:rPr>
          <w:rFonts w:ascii="Times New Roman;serif" w:hAnsi="Times New Roman;serif"/>
          <w:b/>
          <w:color w:val="000000"/>
          <w:sz w:val="36"/>
        </w:rPr>
      </w:pPr>
      <w:r>
        <w:rPr>
          <w:rFonts w:ascii="Times New Roman;serif" w:hAnsi="Times New Roman;serif"/>
          <w:b/>
          <w:color w:val="000000"/>
          <w:sz w:val="36"/>
        </w:rPr>
        <w:t xml:space="preserve">FORM 6-K </w:t>
      </w:r>
    </w:p>
    <w:p>
      <w:pPr>
        <w:pStyle w:val="TextBody"/>
        <w:bidi w:val="0"/>
        <w:spacing w:lineRule="auto" w:line="276" w:before="400" w:after="283"/>
        <w:jc w:val="center"/>
        <w:rPr>
          <w:rFonts w:ascii="Times New Roman;serif" w:hAnsi="Times New Roman;serif"/>
          <w:b/>
          <w:color w:val="000000"/>
          <w:sz w:val="20"/>
        </w:rPr>
      </w:pPr>
      <w:r>
        <w:rPr>
          <w:rFonts w:ascii="Times New Roman;serif" w:hAnsi="Times New Roman;serif"/>
          <w:b/>
          <w:color w:val="000000"/>
          <w:sz w:val="20"/>
        </w:rPr>
        <w:t xml:space="preserve">Report of Foreign Issuer </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Pursuant to Rule 13a-16 or 15d-16 of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the Securities Exchange Act of 1934 </w:t>
      </w: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Report on Form 6-K dated for the month of August 2026</w:t>
      </w:r>
    </w:p>
    <w:p>
      <w:pPr>
        <w:pStyle w:val="TextBody"/>
        <w:bidi w:val="0"/>
        <w:spacing w:lineRule="auto" w:line="276" w:before="500" w:after="283"/>
        <w:jc w:val="center"/>
        <w:rPr>
          <w:rFonts w:ascii="Times New Roman;serif" w:hAnsi="Times New Roman;serif"/>
          <w:b/>
          <w:color w:val="000000"/>
          <w:sz w:val="36"/>
        </w:rPr>
      </w:pPr>
      <w:r>
        <w:rPr>
          <w:rFonts w:ascii="Times New Roman;serif" w:hAnsi="Times New Roman;serif"/>
          <w:b/>
          <w:color w:val="000000"/>
          <w:sz w:val="36"/>
        </w:rPr>
        <w:t>Copa Holdings, S.A.</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lineRule="auto" w:line="276" w:before="500" w:after="283"/>
        <w:jc w:val="center"/>
        <w:rPr>
          <w:rFonts w:ascii="Times New Roman;serif" w:hAnsi="Times New Roman;serif"/>
          <w:b/>
          <w:color w:val="000000"/>
          <w:sz w:val="20"/>
        </w:rPr>
      </w:pPr>
      <w:r>
        <w:rPr>
          <w:rFonts w:ascii="Times New Roman;serif" w:hAnsi="Times New Roman;serif"/>
          <w:b/>
          <w:color w:val="000000"/>
          <w:sz w:val="20"/>
        </w:rPr>
        <w:t xml:space="preserve">Boulevard Costa del Este, Avenida Principal y Avenida de la Rotonda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Urbanización Costa del Este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Complejo Business Park, Torre Norte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ParqueLefevre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Panama City, Panama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76" w:before="4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tbl>
      <w:tblPr>
        <w:tblW w:w="3257" w:type="dxa"/>
        <w:jc w:val="center"/>
        <w:tblInd w:w="0" w:type="dxa"/>
        <w:tblLayout w:type="fixed"/>
        <w:tblCellMar>
          <w:top w:w="28" w:type="dxa"/>
          <w:left w:w="28" w:type="dxa"/>
          <w:bottom w:w="28" w:type="dxa"/>
          <w:right w:w="28" w:type="dxa"/>
        </w:tblCellMar>
      </w:tblPr>
      <w:tblGrid>
        <w:gridCol w:w="348"/>
        <w:gridCol w:w="305"/>
        <w:gridCol w:w="307"/>
        <w:gridCol w:w="109"/>
        <w:gridCol w:w="109"/>
        <w:gridCol w:w="109"/>
        <w:gridCol w:w="109"/>
        <w:gridCol w:w="109"/>
        <w:gridCol w:w="109"/>
        <w:gridCol w:w="109"/>
        <w:gridCol w:w="109"/>
        <w:gridCol w:w="109"/>
        <w:gridCol w:w="109"/>
        <w:gridCol w:w="109"/>
        <w:gridCol w:w="109"/>
        <w:gridCol w:w="289"/>
        <w:gridCol w:w="289"/>
        <w:gridCol w:w="411"/>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20-F</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66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FF6600"/>
                <w:sz w:val="20"/>
              </w:rPr>
            </w:pPr>
            <w:r>
              <w:rPr>
                <w:rFonts w:ascii="Times New Roman;serif" w:hAnsi="Times New Roman;serif"/>
                <w:b w:val="false"/>
                <w:color w:val="FF6600"/>
                <w:sz w:val="20"/>
              </w:rPr>
              <w:t>X</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 40-F</w:t>
            </w:r>
          </w:p>
        </w:tc>
      </w:tr>
    </w:tbl>
    <w:p>
      <w:pPr>
        <w:pStyle w:val="TextBody"/>
        <w:bidi w:val="0"/>
        <w:spacing w:lineRule="auto" w:line="276"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whether the registrant by furnishing the information contained in this Form is also thereby furnishing the information to the Commission pursuant to Rule 12g3-2(b) under the Securities Exchange Act of 1934.)</w:t>
      </w:r>
    </w:p>
    <w:tbl>
      <w:tblPr>
        <w:tblW w:w="1793" w:type="dxa"/>
        <w:jc w:val="center"/>
        <w:tblInd w:w="0" w:type="dxa"/>
        <w:tblLayout w:type="fixed"/>
        <w:tblCellMar>
          <w:top w:w="28" w:type="dxa"/>
          <w:left w:w="28" w:type="dxa"/>
          <w:bottom w:w="28" w:type="dxa"/>
          <w:right w:w="28" w:type="dxa"/>
        </w:tblCellMar>
      </w:tblPr>
      <w:tblGrid>
        <w:gridCol w:w="152"/>
        <w:gridCol w:w="134"/>
        <w:gridCol w:w="135"/>
        <w:gridCol w:w="109"/>
        <w:gridCol w:w="109"/>
        <w:gridCol w:w="109"/>
        <w:gridCol w:w="115"/>
        <w:gridCol w:w="115"/>
        <w:gridCol w:w="116"/>
        <w:gridCol w:w="109"/>
        <w:gridCol w:w="109"/>
        <w:gridCol w:w="109"/>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No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FF66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FF6600"/>
                <w:sz w:val="20"/>
              </w:rPr>
            </w:pPr>
            <w:r>
              <w:rPr>
                <w:rFonts w:ascii="Times New Roman;serif" w:hAnsi="Times New Roman;serif"/>
                <w:b w:val="false"/>
                <w:color w:val="FF6600"/>
                <w:sz w:val="20"/>
              </w:rPr>
              <w:t>X</w:t>
            </w:r>
          </w:p>
        </w:tc>
      </w:tr>
    </w:tbl>
    <w:p>
      <w:pPr>
        <w:pStyle w:val="TextBody"/>
        <w:bidi w:val="0"/>
        <w:spacing w:lineRule="auto" w:line="276"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“Yes” is marked, indicate below the file number assigned to the registrant in connection with Rule 12g3-2(b);82- ____)</w:t>
      </w:r>
    </w:p>
    <w:p>
      <w:pPr>
        <w:pStyle w:val="TextBody"/>
        <w:bidi w:val="0"/>
        <w:spacing w:lineRule="auto" w:line="276" w:before="600" w:after="283"/>
        <w:jc w:val="both"/>
        <w:rPr>
          <w:rFonts w:ascii="Times New Roman;serif" w:hAnsi="Times New Roman;serif"/>
          <w:b/>
          <w:color w:val="000000"/>
          <w:sz w:val="18"/>
        </w:rPr>
      </w:pPr>
      <w:r>
        <w:rPr>
          <w:rFonts w:ascii="Times New Roman;serif" w:hAnsi="Times New Roman;serif"/>
          <w:b/>
          <w:color w:val="000000"/>
          <w:sz w:val="18"/>
        </w:rPr>
        <w:t xml:space="preserve">Enclosure: 2Q26 Earnings Release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4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383" w:type="dxa"/>
        <w:jc w:val="left"/>
        <w:tblInd w:w="0" w:type="dxa"/>
        <w:tblLayout w:type="fixed"/>
        <w:tblCellMar>
          <w:top w:w="28" w:type="dxa"/>
          <w:left w:w="28" w:type="dxa"/>
          <w:bottom w:w="28" w:type="dxa"/>
          <w:right w:w="28" w:type="dxa"/>
        </w:tblCellMar>
      </w:tblPr>
      <w:tblGrid>
        <w:gridCol w:w="488"/>
        <w:gridCol w:w="430"/>
        <w:gridCol w:w="432"/>
        <w:gridCol w:w="286"/>
        <w:gridCol w:w="286"/>
        <w:gridCol w:w="286"/>
        <w:gridCol w:w="630"/>
        <w:gridCol w:w="630"/>
        <w:gridCol w:w="915"/>
      </w:tblGrid>
      <w:tr>
        <w:trPr/>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Copa Holdings, S.A. </w:t>
            </w:r>
          </w:p>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35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Date: 8/7/2026</w:t>
            </w:r>
          </w:p>
        </w:tc>
        <w:tc>
          <w:tcPr>
            <w:tcW w:w="30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1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Peter Donkersloot</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 Peter Donkersloot</w:t>
              <w:br/>
              <w:t>Title: CFO</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2275"/>
        <w:jc w:val="left"/>
        <w:rPr/>
      </w:pPr>
      <w:r>
        <w:rPr/>
        <w:drawing>
          <wp:inline distT="0" distB="0" distL="0" distR="0">
            <wp:extent cx="7400925" cy="12287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400925" cy="1228725"/>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57.0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120"/>
        <w:jc w:val="right"/>
        <w:rPr/>
      </w:pPr>
      <w:r>
        <w:rPr>
          <w:rFonts w:ascii="Arial;sans-serif" w:hAnsi="Arial;sans-serif"/>
          <w:b/>
          <w:color w:val="000000"/>
          <w:sz w:val="20"/>
        </w:rPr>
        <w:t>Exhibit 99.1</w:t>
      </w:r>
      <w:r>
        <w:rPr>
          <w:color w:val="000000"/>
        </w:rPr>
        <w:t>    </w:t>
      </w:r>
    </w:p>
    <w:p>
      <w:pPr>
        <w:pStyle w:val="TextBody"/>
        <w:bidi w:val="0"/>
        <w:spacing w:lineRule="auto" w:line="288" w:before="200" w:after="200"/>
        <w:jc w:val="both"/>
        <w:rPr>
          <w:rFonts w:ascii="Arial;sans-serif" w:hAnsi="Arial;sans-serif"/>
          <w:b/>
          <w:color w:val="000000"/>
          <w:sz w:val="31"/>
        </w:rPr>
      </w:pPr>
      <w:r>
        <w:rPr>
          <w:rFonts w:ascii="Arial;sans-serif" w:hAnsi="Arial;sans-serif"/>
          <w:b/>
          <w:color w:val="000000"/>
          <w:sz w:val="31"/>
        </w:rPr>
        <w:t>Copa Holdings Reports Second-Quarter Financial Results</w:t>
      </w:r>
    </w:p>
    <w:p>
      <w:pPr>
        <w:pStyle w:val="TextBody"/>
        <w:bidi w:val="0"/>
        <w:spacing w:lineRule="auto" w:line="288" w:before="0" w:after="0"/>
        <w:jc w:val="both"/>
        <w:rPr/>
      </w:pPr>
      <w:r>
        <w:rPr>
          <w:rFonts w:ascii="Arial;sans-serif" w:hAnsi="Arial;sans-serif"/>
          <w:b w:val="false"/>
          <w:color w:val="000000"/>
          <w:sz w:val="20"/>
        </w:rPr>
        <w:t>Panama City, Panama --- August 5, 2026. Copa Holdings</w:t>
      </w:r>
      <w:r>
        <w:rPr>
          <w:rFonts w:ascii="Arial;sans-serif" w:hAnsi="Arial;sans-serif"/>
          <w:b w:val="false"/>
          <w:color w:val="000000"/>
          <w:sz w:val="13"/>
        </w:rPr>
        <w:t>1</w:t>
      </w:r>
      <w:r>
        <w:rPr>
          <w:rFonts w:ascii="Arial;sans-serif" w:hAnsi="Arial;sans-serif"/>
          <w:b w:val="false"/>
          <w:color w:val="000000"/>
          <w:sz w:val="20"/>
        </w:rPr>
        <w:t>, S.A. (NYSE: CPA), today announced financial results for the second quarter (2Q26), reflecting the resilience of the Company's business model and disciplined execution amid a significantly higher jet fuel price environment. Key highlights include</w:t>
      </w:r>
    </w:p>
    <w:p>
      <w:pPr>
        <w:pStyle w:val="TextBody"/>
        <w:bidi w:val="0"/>
        <w:spacing w:lineRule="auto" w:line="288" w:before="140" w:after="100"/>
        <w:ind w:left="0" w:right="0" w:hanging="284"/>
        <w:jc w:val="both"/>
        <w:rPr/>
      </w:pPr>
      <w:r>
        <w:rPr>
          <w:color w:val="000000"/>
        </w:rPr>
        <w:t>•</w:t>
      </w:r>
      <w:r>
        <w:rPr>
          <w:rFonts w:ascii="Arial;sans-serif" w:hAnsi="Arial;sans-serif"/>
          <w:b w:val="false"/>
          <w:color w:val="000000"/>
          <w:sz w:val="20"/>
        </w:rPr>
        <w:t>Operating profit of US$91.7 million and an operating margin of 8.7%, a 13.1 percentage point decrease year over year.</w:t>
      </w:r>
    </w:p>
    <w:p>
      <w:pPr>
        <w:pStyle w:val="TextBody"/>
        <w:bidi w:val="0"/>
        <w:spacing w:lineRule="auto" w:line="288" w:before="140" w:after="100"/>
        <w:ind w:left="0" w:right="0" w:hanging="284"/>
        <w:jc w:val="both"/>
        <w:rPr/>
      </w:pPr>
      <w:r>
        <w:rPr>
          <w:color w:val="000000"/>
        </w:rPr>
        <w:t>•</w:t>
      </w:r>
      <w:r>
        <w:rPr>
          <w:rFonts w:ascii="Arial;sans-serif" w:hAnsi="Arial;sans-serif"/>
          <w:b w:val="false"/>
          <w:color w:val="000000"/>
          <w:sz w:val="20"/>
        </w:rPr>
        <w:t>Net profit of US$68.2 million or US$1.67 per share, a 53.9% year</w:t>
        <w:noBreakHyphen/>
        <w:t>over</w:t>
        <w:noBreakHyphen/>
        <w:t>year decrease in earnings per share.</w:t>
      </w:r>
    </w:p>
    <w:p>
      <w:pPr>
        <w:pStyle w:val="TextBody"/>
        <w:bidi w:val="0"/>
        <w:spacing w:lineRule="auto" w:line="288" w:before="140" w:after="100"/>
        <w:ind w:left="0" w:right="0" w:hanging="284"/>
        <w:jc w:val="both"/>
        <w:rPr/>
      </w:pPr>
      <w:r>
        <w:rPr>
          <w:color w:val="000000"/>
        </w:rPr>
        <w:t>•</w:t>
      </w:r>
      <w:r>
        <w:rPr>
          <w:rFonts w:ascii="Arial;sans-serif" w:hAnsi="Arial;sans-serif"/>
          <w:b w:val="false"/>
          <w:color w:val="000000"/>
          <w:sz w:val="20"/>
        </w:rPr>
        <w:t xml:space="preserve">Operating revenue increased 25.7% year over year. </w:t>
      </w:r>
    </w:p>
    <w:p>
      <w:pPr>
        <w:pStyle w:val="TextBody"/>
        <w:bidi w:val="0"/>
        <w:spacing w:lineRule="auto" w:line="288" w:before="140" w:after="100"/>
        <w:ind w:left="0" w:right="0" w:hanging="284"/>
        <w:jc w:val="both"/>
        <w:rPr/>
      </w:pPr>
      <w:r>
        <w:rPr>
          <w:color w:val="000000"/>
        </w:rPr>
        <w:t>•</w:t>
      </w:r>
      <w:r>
        <w:rPr>
          <w:rFonts w:ascii="Arial;sans-serif" w:hAnsi="Arial;sans-serif"/>
          <w:b w:val="false"/>
          <w:color w:val="000000"/>
          <w:sz w:val="20"/>
        </w:rPr>
        <w:t>Passenger yields increased 8.7% year over year to 12.6 cents, and revenue per available seat mile (RASM) increased 7.9% to 11.6 cents compared to 2Q25, while capacity in ASMs increased by 16.5% year over year.</w:t>
      </w:r>
    </w:p>
    <w:p>
      <w:pPr>
        <w:pStyle w:val="TextBody"/>
        <w:bidi w:val="0"/>
        <w:spacing w:lineRule="auto" w:line="288" w:before="140" w:after="100"/>
        <w:ind w:left="0" w:right="0" w:hanging="284"/>
        <w:jc w:val="both"/>
        <w:rPr/>
      </w:pPr>
      <w:r>
        <w:rPr>
          <w:color w:val="000000"/>
        </w:rPr>
        <w:t>•</w:t>
      </w:r>
      <w:r>
        <w:rPr>
          <w:rFonts w:ascii="Arial;sans-serif" w:hAnsi="Arial;sans-serif"/>
          <w:b w:val="false"/>
          <w:color w:val="000000"/>
          <w:sz w:val="20"/>
        </w:rPr>
        <w:t>Load factor of 86.7%, compared to 87.3% in 2Q25.</w:t>
      </w:r>
    </w:p>
    <w:p>
      <w:pPr>
        <w:pStyle w:val="TextBody"/>
        <w:bidi w:val="0"/>
        <w:spacing w:lineRule="auto" w:line="288" w:before="140" w:after="100"/>
        <w:ind w:left="0" w:right="0" w:hanging="284"/>
        <w:jc w:val="both"/>
        <w:rPr/>
      </w:pPr>
      <w:r>
        <w:rPr>
          <w:color w:val="000000"/>
        </w:rPr>
        <w:t>•</w:t>
      </w:r>
      <w:r>
        <w:rPr>
          <w:rFonts w:ascii="Arial;sans-serif" w:hAnsi="Arial;sans-serif"/>
          <w:b w:val="false"/>
          <w:color w:val="000000"/>
          <w:sz w:val="20"/>
        </w:rPr>
        <w:t>Operating cost per available seat mile excluding fuel (Ex-Fuel CASM) decreased 0.1% year over year to 5.7 cents.</w:t>
      </w:r>
    </w:p>
    <w:p>
      <w:pPr>
        <w:pStyle w:val="TextBody"/>
        <w:bidi w:val="0"/>
        <w:spacing w:lineRule="auto" w:line="288" w:before="140" w:after="100"/>
        <w:ind w:left="0" w:right="0" w:hanging="284"/>
        <w:jc w:val="both"/>
        <w:rPr/>
      </w:pPr>
      <w:r>
        <w:rPr>
          <w:color w:val="000000"/>
        </w:rPr>
        <w:t>•</w:t>
      </w:r>
      <w:r>
        <w:rPr>
          <w:rFonts w:ascii="Arial;sans-serif" w:hAnsi="Arial;sans-serif"/>
          <w:b w:val="false"/>
          <w:color w:val="000000"/>
          <w:sz w:val="20"/>
        </w:rPr>
        <w:t>The Company ended the quarter with approximately US$1.5 billion in cash, short-term and long-term investments, which represent 39% of the last twelve-month revenues.</w:t>
      </w:r>
    </w:p>
    <w:p>
      <w:pPr>
        <w:pStyle w:val="TextBody"/>
        <w:bidi w:val="0"/>
        <w:spacing w:lineRule="auto" w:line="288" w:before="140" w:after="100"/>
        <w:ind w:left="0" w:right="0" w:hanging="284"/>
        <w:jc w:val="both"/>
        <w:rPr/>
      </w:pPr>
      <w:r>
        <w:rPr>
          <w:color w:val="000000"/>
        </w:rPr>
        <w:t>•</w:t>
      </w:r>
      <w:r>
        <w:rPr>
          <w:rFonts w:ascii="Arial;sans-serif" w:hAnsi="Arial;sans-serif"/>
          <w:b w:val="false"/>
          <w:color w:val="000000"/>
          <w:sz w:val="20"/>
        </w:rPr>
        <w:t>The Company ended 2Q26 with a Net Debt-to-EBITDA ratio of 0.9x.</w:t>
      </w:r>
    </w:p>
    <w:p>
      <w:pPr>
        <w:pStyle w:val="TextBody"/>
        <w:bidi w:val="0"/>
        <w:spacing w:lineRule="auto" w:line="288" w:before="140" w:after="100"/>
        <w:ind w:left="0" w:right="0" w:hanging="284"/>
        <w:jc w:val="both"/>
        <w:rPr/>
      </w:pPr>
      <w:r>
        <w:rPr>
          <w:color w:val="000000"/>
        </w:rPr>
        <w:t>•</w:t>
      </w:r>
      <w:r>
        <w:rPr>
          <w:rFonts w:ascii="Arial;sans-serif" w:hAnsi="Arial;sans-serif"/>
          <w:b w:val="false"/>
          <w:color w:val="000000"/>
          <w:sz w:val="20"/>
        </w:rPr>
        <w:t xml:space="preserve">During the quarter, the Company took delivery of 4 Boeing 737-MAX 8 aircraft to end the quarter with a total fleet of 131 aircraft. </w:t>
      </w:r>
    </w:p>
    <w:p>
      <w:pPr>
        <w:pStyle w:val="TextBody"/>
        <w:bidi w:val="0"/>
        <w:spacing w:lineRule="auto" w:line="288" w:before="140" w:after="100"/>
        <w:ind w:left="0" w:right="0" w:hanging="284"/>
        <w:jc w:val="both"/>
        <w:rPr/>
      </w:pPr>
      <w:r>
        <w:rPr>
          <w:color w:val="000000"/>
        </w:rPr>
        <w:t>•</w:t>
      </w:r>
      <w:r>
        <w:rPr>
          <w:rFonts w:ascii="Arial;sans-serif" w:hAnsi="Arial;sans-serif"/>
          <w:b w:val="false"/>
          <w:color w:val="000000"/>
          <w:sz w:val="20"/>
        </w:rPr>
        <w:t>Copa Airlines had an on-time performance for the quarter of 90.6% and a flight completion factor of 99.8%, once again positioning the airline among the best in the industry.</w:t>
      </w:r>
    </w:p>
    <w:p>
      <w:pPr>
        <w:pStyle w:val="TextBody"/>
        <w:bidi w:val="0"/>
        <w:spacing w:before="140" w:after="100"/>
        <w:ind w:left="0" w:right="0" w:firstLine="7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8"/>
        </w:rPr>
      </w:pPr>
      <w:r>
        <w:rPr>
          <w:rFonts w:ascii="Arial;sans-serif" w:hAnsi="Arial;sans-serif"/>
          <w:b/>
          <w:color w:val="000000"/>
          <w:sz w:val="28"/>
        </w:rPr>
        <w:t>Subsequent events</w:t>
      </w:r>
    </w:p>
    <w:p>
      <w:pPr>
        <w:pStyle w:val="TextBody"/>
        <w:bidi w:val="0"/>
        <w:spacing w:lineRule="auto" w:line="288" w:before="140" w:after="100"/>
        <w:ind w:left="0" w:right="0" w:hanging="284"/>
        <w:jc w:val="both"/>
        <w:rPr/>
      </w:pPr>
      <w:r>
        <w:rPr>
          <w:color w:val="000000"/>
        </w:rPr>
        <w:t>•</w:t>
      </w:r>
      <w:r>
        <w:rPr>
          <w:rFonts w:ascii="Arial;sans-serif" w:hAnsi="Arial;sans-serif"/>
          <w:b w:val="false"/>
          <w:color w:val="000000"/>
          <w:sz w:val="20"/>
        </w:rPr>
        <w:t>On August 5, 2026, the Board of Directors of Copa Holdings ratified its third dividend payment for the year of US$1.71 per share. Dividends will be paid on September 15, 2026, to shareholders on record as of August 31, 2026.</w:t>
      </w:r>
    </w:p>
    <w:p>
      <w:pPr>
        <w:pStyle w:val="TextBody"/>
        <w:bidi w:val="0"/>
        <w:spacing w:lineRule="auto" w:line="288" w:before="140" w:after="100"/>
        <w:ind w:left="0" w:right="0" w:hanging="284"/>
        <w:jc w:val="both"/>
        <w:rPr/>
      </w:pPr>
      <w:r>
        <w:rPr>
          <w:color w:val="000000"/>
        </w:rPr>
        <w:t>•</w:t>
      </w:r>
      <w:r>
        <w:rPr>
          <w:rFonts w:ascii="Arial;sans-serif" w:hAnsi="Arial;sans-serif"/>
          <w:b w:val="false"/>
          <w:color w:val="000000"/>
          <w:sz w:val="20"/>
        </w:rPr>
        <w:t>On July 4, 2026, Copa Airlines operated its first flight equipped with Starlink onboard internet, becoming the first airline in Latin America to offer high-speed Starlink connectivity. The Company expects to complete the installation of Starlink Wi-Fi across its entire fleet by the first half of 2027.</w:t>
      </w:r>
    </w:p>
    <w:p>
      <w:pPr>
        <w:pStyle w:val="TextBody"/>
        <w:bidi w:val="0"/>
        <w:spacing w:lineRule="auto" w:line="288" w:before="140" w:after="100"/>
        <w:ind w:left="0" w:right="0" w:hanging="284"/>
        <w:jc w:val="both"/>
        <w:rPr/>
      </w:pPr>
      <w:r>
        <w:rPr>
          <w:color w:val="000000"/>
        </w:rPr>
        <w:t>•</w:t>
      </w:r>
      <w:r>
        <w:rPr>
          <w:rFonts w:ascii="Arial;sans-serif" w:hAnsi="Arial;sans-serif"/>
          <w:b w:val="false"/>
          <w:color w:val="000000"/>
          <w:sz w:val="20"/>
        </w:rPr>
        <w:t>In July, Copa Airlines published schedules reflecting its transition from six to eight connecting banks at its Hub of the Americas® in Panama City. This new bank structure, starting in March 2027, will provide passengers with greater flight options and improved connectivity while increasing aircraft utilization and better use of airport facilities, thereby further consolidating the leadership position of the Hub of the Americas® in the region.</w:t>
      </w:r>
    </w:p>
    <w:p>
      <w:pPr>
        <w:pStyle w:val="TextBody"/>
        <w:bidi w:val="0"/>
        <w:spacing w:lineRule="auto" w:line="240" w:before="200" w:after="200"/>
        <w:jc w:val="both"/>
        <w:rPr/>
      </w:pPr>
      <w:r>
        <w:rPr>
          <w:rFonts w:ascii="Arial;sans-serif" w:hAnsi="Arial;sans-serif"/>
          <w:b w:val="false"/>
          <w:color w:val="000000"/>
          <w:sz w:val="13"/>
        </w:rPr>
        <w:t>1</w:t>
      </w:r>
      <w:r>
        <w:rPr>
          <w:color w:val="000000"/>
        </w:rPr>
        <w:t xml:space="preserve"> </w:t>
      </w:r>
      <w:r>
        <w:rPr>
          <w:rFonts w:ascii="Arial;sans-serif" w:hAnsi="Arial;sans-serif"/>
          <w:b w:val="false"/>
          <w:color w:val="000000"/>
          <w:sz w:val="16"/>
        </w:rPr>
        <w:t>The terms “Copa Holdings” and the “Company” refer to the consolidated entity. The financial information presented in this release, unless otherwise indicated, is presented in accordance with International Financial Reporting Standards (IFRS). See the accompanying reconciliation of non-IFRS financial information to IFRS financial information included in the financial tables section of this earnings release. Unless otherwise stated, all comparisons with prior periods refer to the second quarter of 2025 (2Q25).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275"/>
        <w:jc w:val="left"/>
        <w:rPr/>
      </w:pPr>
      <w:r>
        <w:rPr/>
        <w:drawing>
          <wp:inline distT="0" distB="0" distL="0" distR="0">
            <wp:extent cx="7400925" cy="12287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7400925" cy="1228725"/>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01040"/>
                <wp:effectExtent l="0" t="0" r="0" b="0"/>
                <wp:wrapNone/>
                <wp:docPr id="5" name="Frame3"/>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40" w:before="0" w:after="0"/>
                              <w:jc w:val="right"/>
                              <w:rPr>
                                <w:color w:val="000000"/>
                              </w:rPr>
                            </w:pPr>
                            <w:r>
                              <w:rPr>
                                <w:color w:val="000000"/>
                              </w:rPr>
                              <w:t>    </w:t>
                            </w:r>
                            <w:r>
                              <w:rPr>
                                <w:rFonts w:ascii="Arial;sans-serif" w:hAnsi="Arial;sans-serif"/>
                                <w:b w:val="false"/>
                                <w:color w:val="000000"/>
                                <w:sz w:val="18"/>
                              </w:rPr>
                              <w:t>1</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57.05pt;mso-position-horizontal:left;mso-position-horizontal-relative:text">
                <v:textbox>
                  <w:txbxContent>
                    <w:p>
                      <w:pPr>
                        <w:pStyle w:val="TextBody"/>
                        <w:bidi w:val="0"/>
                        <w:spacing w:before="0" w:after="0"/>
                        <w:jc w:val="right"/>
                        <w:rPr/>
                      </w:pPr>
                      <w:r>
                        <w:rPr/>
                      </w:r>
                    </w:p>
                    <w:p>
                      <w:pPr>
                        <w:pStyle w:val="TextBody"/>
                        <w:bidi w:val="0"/>
                        <w:spacing w:lineRule="auto" w:line="240" w:before="0" w:after="0"/>
                        <w:jc w:val="right"/>
                        <w:rPr>
                          <w:color w:val="000000"/>
                        </w:rPr>
                      </w:pPr>
                      <w:r>
                        <w:rPr>
                          <w:color w:val="000000"/>
                        </w:rPr>
                        <w:t>    </w:t>
                      </w:r>
                      <w:r>
                        <w:rPr>
                          <w:rFonts w:ascii="Arial;sans-serif" w:hAnsi="Arial;sans-serif"/>
                          <w:b w:val="false"/>
                          <w:color w:val="000000"/>
                          <w:sz w:val="18"/>
                        </w:rPr>
                        <w:t>1</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left"/>
        <w:rPr>
          <w:rFonts w:ascii="Arial;sans-serif" w:hAnsi="Arial;sans-serif"/>
          <w:b/>
          <w:color w:val="000000"/>
          <w:sz w:val="28"/>
        </w:rPr>
      </w:pPr>
      <w:r>
        <w:rPr>
          <w:rFonts w:ascii="Arial;sans-serif" w:hAnsi="Arial;sans-serif"/>
          <w:b/>
          <w:color w:val="000000"/>
          <w:sz w:val="28"/>
        </w:rPr>
        <w:t>Management’s comments on 2Q26 results</w:t>
      </w:r>
    </w:p>
    <w:p>
      <w:pPr>
        <w:pStyle w:val="TextBody"/>
        <w:bidi w:val="0"/>
        <w:spacing w:lineRule="auto" w:line="288" w:before="140" w:after="100"/>
        <w:jc w:val="both"/>
        <w:rPr>
          <w:rFonts w:ascii="Arial;sans-serif" w:hAnsi="Arial;sans-serif"/>
          <w:b w:val="false"/>
          <w:color w:val="000000"/>
          <w:sz w:val="20"/>
        </w:rPr>
      </w:pPr>
      <w:r>
        <w:rPr>
          <w:rFonts w:ascii="Arial;sans-serif" w:hAnsi="Arial;sans-serif"/>
          <w:b w:val="false"/>
          <w:color w:val="000000"/>
          <w:sz w:val="20"/>
        </w:rPr>
        <w:t>Copa Holdings’ second quarter results demonstrate the resilience of its business model in a significantly higher jet fuel price environment. Despite an 84.8% year-over-year increase in average fuel prices, the Company delivered an operating profit of US$91.7 million and an operating margin of 8.7%, while maintaining a very strong liquidity position. The quarter also highlights the strength of air travel demand across the Company’s network, with revenues increasing 25.7%, driven by 16.5% capacity growth and a 7.9% year-over-year increase in unit revenues (RASM) to 11.6 cents.</w:t>
      </w:r>
    </w:p>
    <w:p>
      <w:pPr>
        <w:pStyle w:val="TextBody"/>
        <w:bidi w:val="0"/>
        <w:spacing w:lineRule="auto" w:line="288" w:before="140" w:after="100"/>
        <w:jc w:val="both"/>
        <w:rPr>
          <w:rFonts w:ascii="Arial;sans-serif" w:hAnsi="Arial;sans-serif"/>
          <w:b w:val="false"/>
          <w:color w:val="000000"/>
          <w:sz w:val="20"/>
        </w:rPr>
      </w:pPr>
      <w:r>
        <w:rPr>
          <w:rFonts w:ascii="Arial;sans-serif" w:hAnsi="Arial;sans-serif"/>
          <w:b w:val="false"/>
          <w:color w:val="000000"/>
          <w:sz w:val="20"/>
        </w:rPr>
        <w:t xml:space="preserve">For the second quarter, passenger yields increased 8.7% year over year, and load factor reached 86.7%. While demand across the network remained strong, travel patterns were temporarily affected by the World Cup during June. This resulted in a lower June load factor and an estimated 0.1-cent impact on quarterly RASM. </w:t>
      </w:r>
    </w:p>
    <w:p>
      <w:pPr>
        <w:pStyle w:val="TextBody"/>
        <w:bidi w:val="0"/>
        <w:spacing w:lineRule="auto" w:line="288" w:before="140" w:after="100"/>
        <w:jc w:val="both"/>
        <w:rPr>
          <w:rFonts w:ascii="Arial;sans-serif" w:hAnsi="Arial;sans-serif"/>
          <w:b w:val="false"/>
          <w:color w:val="000000"/>
          <w:sz w:val="20"/>
        </w:rPr>
      </w:pPr>
      <w:r>
        <w:rPr>
          <w:rFonts w:ascii="Arial;sans-serif" w:hAnsi="Arial;sans-serif"/>
          <w:b w:val="false"/>
          <w:color w:val="000000"/>
          <w:sz w:val="20"/>
        </w:rPr>
        <w:t xml:space="preserve">Cost per available seat mile excluding fuel (CASM Ex-Fuel) decreased 0.1% year over year to 5.7 cents, reflecting the Company’s continued cost discipline, while total CASM increased 26.0% to 10.6 cents as a result of significantly higher fuel prices. </w:t>
      </w:r>
    </w:p>
    <w:p>
      <w:pPr>
        <w:pStyle w:val="TextBody"/>
        <w:bidi w:val="0"/>
        <w:spacing w:lineRule="auto" w:line="288" w:before="140" w:after="100"/>
        <w:jc w:val="both"/>
        <w:rPr>
          <w:rFonts w:ascii="Arial;sans-serif" w:hAnsi="Arial;sans-serif"/>
          <w:b w:val="false"/>
          <w:color w:val="000000"/>
          <w:sz w:val="20"/>
        </w:rPr>
      </w:pPr>
      <w:r>
        <w:rPr>
          <w:rFonts w:ascii="Arial;sans-serif" w:hAnsi="Arial;sans-serif"/>
          <w:b w:val="false"/>
          <w:color w:val="000000"/>
          <w:sz w:val="20"/>
        </w:rPr>
        <w:t>Despite having approximately 40% of its second-quarter bookings already sold prior to the increase in fuel prices, strong demand and higher yields enabled the Company to recover approximately 40% of the year-over-year increase in fuel expenses during the quarter.</w:t>
      </w:r>
    </w:p>
    <w:p>
      <w:pPr>
        <w:pStyle w:val="TextBody"/>
        <w:bidi w:val="0"/>
        <w:spacing w:lineRule="auto" w:line="288" w:before="140" w:after="100"/>
        <w:jc w:val="both"/>
        <w:rPr>
          <w:rFonts w:ascii="Arial;sans-serif" w:hAnsi="Arial;sans-serif"/>
          <w:b w:val="false"/>
          <w:color w:val="000000"/>
          <w:sz w:val="20"/>
        </w:rPr>
      </w:pPr>
      <w:r>
        <w:rPr>
          <w:rFonts w:ascii="Arial;sans-serif" w:hAnsi="Arial;sans-serif"/>
          <w:b w:val="false"/>
          <w:color w:val="000000"/>
          <w:sz w:val="20"/>
        </w:rPr>
        <w:t>Copa Holdings continues to maintain a strong liquidity and balance sheet position, ending the quarter with approximately US$1.5 billion in cash, short-term and long-term investments, representing 39% of the last-twelve-month revenues, and a Net Debt-to-EBITDA ratio of 0.9 times. During the quarter, the Company took delivery of four Boeing 737 MAX 8 aircraft, ending the period with a fleet of 131 aircraft.</w:t>
      </w:r>
    </w:p>
    <w:p>
      <w:pPr>
        <w:pStyle w:val="TextBody"/>
        <w:bidi w:val="0"/>
        <w:spacing w:lineRule="auto" w:line="288" w:before="140" w:after="100"/>
        <w:jc w:val="both"/>
        <w:rPr>
          <w:rFonts w:ascii="Arial;sans-serif" w:hAnsi="Arial;sans-serif"/>
          <w:b w:val="false"/>
          <w:color w:val="000000"/>
          <w:sz w:val="20"/>
        </w:rPr>
      </w:pPr>
      <w:r>
        <w:rPr>
          <w:rFonts w:ascii="Arial;sans-serif" w:hAnsi="Arial;sans-serif"/>
          <w:b w:val="false"/>
          <w:color w:val="000000"/>
          <w:sz w:val="20"/>
        </w:rPr>
        <w:t>Copa Airlines once again showed industry-leading operational reliability, delivering for the quarter an on-time performance of 90.6% and a completion factor of 99.8%, among the very best in the world.</w:t>
      </w:r>
    </w:p>
    <w:p>
      <w:pPr>
        <w:pStyle w:val="TextBody"/>
        <w:bidi w:val="0"/>
        <w:spacing w:lineRule="auto" w:line="288" w:before="140" w:after="100"/>
        <w:jc w:val="both"/>
        <w:rPr>
          <w:rFonts w:ascii="Arial;sans-serif" w:hAnsi="Arial;sans-serif"/>
          <w:b w:val="false"/>
          <w:color w:val="000000"/>
          <w:sz w:val="20"/>
        </w:rPr>
      </w:pPr>
      <w:r>
        <w:rPr>
          <w:rFonts w:ascii="Arial;sans-serif" w:hAnsi="Arial;sans-serif"/>
          <w:b w:val="false"/>
          <w:color w:val="000000"/>
          <w:sz w:val="20"/>
        </w:rPr>
        <w:t xml:space="preserve">The Company remains focused on leveraging its Hub of the Americas® to deliver the most comprehensive and convenient intra-Americas network. The recently announced transition from six to eight connecting banks, starting in March 2027, will increase connectivity, improve aircraft utilization, and provide passengers with more travel options, further strengthening Panama’s position as the leading hub for intra-Americas travel. Together with the ongoing rollout of Starlink across the fleet, which recently made Copa the first airline in Latin America to offer Starlink high-speed Wi-Fi, these initiatives further enhance the Company's competitive advantages and passenger experience. </w:t>
      </w:r>
    </w:p>
    <w:p>
      <w:pPr>
        <w:pStyle w:val="TextBody"/>
        <w:bidi w:val="0"/>
        <w:spacing w:lineRule="auto" w:line="288" w:before="140" w:after="100"/>
        <w:jc w:val="both"/>
        <w:rPr>
          <w:rFonts w:ascii="Arial;sans-serif" w:hAnsi="Arial;sans-serif"/>
          <w:b w:val="false"/>
          <w:color w:val="000000"/>
          <w:sz w:val="20"/>
        </w:rPr>
      </w:pPr>
      <w:r>
        <w:rPr>
          <w:rFonts w:ascii="Arial;sans-serif" w:hAnsi="Arial;sans-serif"/>
          <w:b w:val="false"/>
          <w:color w:val="000000"/>
          <w:sz w:val="20"/>
        </w:rPr>
        <w:t>Copa’s proven business model, built on the strategic geographic position of Panama, structurally low unit costs, a passenger-friendly product, including the continent’s best on-time performance, and a strong balance sheet, positions the Company well to navigate the current fuel price environment and continue generating profitable growth and long-term shareholder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275"/>
        <w:jc w:val="left"/>
        <w:rPr/>
      </w:pPr>
      <w:r>
        <w:rPr/>
        <w:drawing>
          <wp:inline distT="0" distB="0" distL="0" distR="0">
            <wp:extent cx="7400925" cy="12287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7400925" cy="1228725"/>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01040"/>
                <wp:effectExtent l="0" t="0" r="0" b="0"/>
                <wp:wrapNone/>
                <wp:docPr id="7" name="Frame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40" w:before="0" w:after="0"/>
                              <w:jc w:val="right"/>
                              <w:rPr>
                                <w:color w:val="000000"/>
                              </w:rPr>
                            </w:pPr>
                            <w:r>
                              <w:rPr>
                                <w:color w:val="000000"/>
                              </w:rPr>
                              <w:t>    </w:t>
                            </w:r>
                            <w:r>
                              <w:rPr>
                                <w:rFonts w:ascii="Arial;sans-serif" w:hAnsi="Arial;sans-serif"/>
                                <w:b w:val="false"/>
                                <w:color w:val="000000"/>
                                <w:sz w:val="18"/>
                              </w:rPr>
                              <w:t>2</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57.05pt;mso-position-horizontal:left;mso-position-horizontal-relative:text">
                <v:textbox>
                  <w:txbxContent>
                    <w:p>
                      <w:pPr>
                        <w:pStyle w:val="TextBody"/>
                        <w:bidi w:val="0"/>
                        <w:spacing w:before="0" w:after="0"/>
                        <w:jc w:val="right"/>
                        <w:rPr/>
                      </w:pPr>
                      <w:r>
                        <w:rPr/>
                      </w:r>
                    </w:p>
                    <w:p>
                      <w:pPr>
                        <w:pStyle w:val="TextBody"/>
                        <w:bidi w:val="0"/>
                        <w:spacing w:lineRule="auto" w:line="240" w:before="0" w:after="0"/>
                        <w:jc w:val="right"/>
                        <w:rPr>
                          <w:color w:val="000000"/>
                        </w:rPr>
                      </w:pPr>
                      <w:r>
                        <w:rPr>
                          <w:color w:val="000000"/>
                        </w:rPr>
                        <w:t>    </w:t>
                      </w:r>
                      <w:r>
                        <w:rPr>
                          <w:rFonts w:ascii="Arial;sans-serif" w:hAnsi="Arial;sans-serif"/>
                          <w:b w:val="false"/>
                          <w:color w:val="000000"/>
                          <w:sz w:val="18"/>
                        </w:rPr>
                        <w:t>2</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left"/>
        <w:rPr>
          <w:rFonts w:ascii="Arial;sans-serif" w:hAnsi="Arial;sans-serif"/>
          <w:b/>
          <w:color w:val="000000"/>
          <w:sz w:val="28"/>
        </w:rPr>
      </w:pPr>
      <w:r>
        <w:rPr>
          <w:rFonts w:ascii="Arial;sans-serif" w:hAnsi="Arial;sans-serif"/>
          <w:b/>
          <w:color w:val="000000"/>
          <w:sz w:val="28"/>
        </w:rPr>
        <w:t>Outlook for 2026</w:t>
      </w:r>
    </w:p>
    <w:p>
      <w:pPr>
        <w:pStyle w:val="TextBody"/>
        <w:bidi w:val="0"/>
        <w:spacing w:lineRule="auto" w:line="288" w:before="140" w:after="100"/>
        <w:jc w:val="both"/>
        <w:rPr>
          <w:rFonts w:ascii="Arial;sans-serif" w:hAnsi="Arial;sans-serif"/>
          <w:b w:val="false"/>
          <w:color w:val="000000"/>
          <w:sz w:val="20"/>
        </w:rPr>
      </w:pPr>
      <w:r>
        <w:rPr>
          <w:rFonts w:ascii="Arial;sans-serif" w:hAnsi="Arial;sans-serif"/>
          <w:b w:val="false"/>
          <w:color w:val="000000"/>
          <w:sz w:val="20"/>
        </w:rPr>
        <w:t xml:space="preserve">While fuel prices remain elevated and volatile relative to prior-year levels, underlying demand across the network continues to be strong. Based on demand trends and current fuel cost projections, the Company is updating its full-year 2026 outlook and now expects an operating margin in the range of 17% to 19% and a capacity increase in ASMs within the range of 14% to 15% compared to 2025. </w:t>
      </w:r>
    </w:p>
    <w:tbl>
      <w:tblPr>
        <w:tblW w:w="4351" w:type="dxa"/>
        <w:jc w:val="center"/>
        <w:tblInd w:w="0" w:type="dxa"/>
        <w:tblLayout w:type="fixed"/>
        <w:tblCellMar>
          <w:top w:w="28" w:type="dxa"/>
          <w:left w:w="28" w:type="dxa"/>
          <w:bottom w:w="28" w:type="dxa"/>
          <w:right w:w="28" w:type="dxa"/>
        </w:tblCellMar>
      </w:tblPr>
      <w:tblGrid>
        <w:gridCol w:w="960"/>
        <w:gridCol w:w="846"/>
        <w:gridCol w:w="849"/>
        <w:gridCol w:w="330"/>
        <w:gridCol w:w="330"/>
        <w:gridCol w:w="331"/>
        <w:gridCol w:w="206"/>
        <w:gridCol w:w="206"/>
        <w:gridCol w:w="293"/>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0033A6"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Financial Outlook</w:t>
            </w:r>
          </w:p>
        </w:tc>
        <w:tc>
          <w:tcPr>
            <w:tcW w:w="991" w:type="dxa"/>
            <w:gridSpan w:val="3"/>
            <w:tcBorders/>
            <w:shd w:fill="0033A6"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2026</w:t>
              <w:br/>
              <w:t>Guidance</w:t>
            </w:r>
          </w:p>
        </w:tc>
        <w:tc>
          <w:tcPr>
            <w:tcW w:w="705" w:type="dxa"/>
            <w:gridSpan w:val="3"/>
            <w:tcBorders/>
            <w:shd w:fill="0033A6"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Capacity – YOY ASM growth</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14-15%</w:t>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17-19%</w:t>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w:t>
            </w:r>
          </w:p>
        </w:tc>
      </w:tr>
    </w:tbl>
    <w:p>
      <w:pPr>
        <w:pStyle w:val="TextBody"/>
        <w:bidi w:val="0"/>
        <w:spacing w:lineRule="auto" w:line="288" w:before="140" w:after="100"/>
        <w:jc w:val="both"/>
        <w:rPr>
          <w:rFonts w:ascii="Arial;sans-serif" w:hAnsi="Arial;sans-serif"/>
          <w:b w:val="false"/>
          <w:color w:val="000000"/>
          <w:sz w:val="20"/>
        </w:rPr>
      </w:pPr>
      <w:r>
        <w:rPr>
          <w:rFonts w:ascii="Arial;sans-serif" w:hAnsi="Arial;sans-serif"/>
          <w:b w:val="false"/>
          <w:color w:val="000000"/>
          <w:sz w:val="20"/>
        </w:rPr>
        <w:t>Factored in this outlook is a load factor of approximately 87%, unit revenues (RASM) of 12.0 cents, unit costs excluding fuel (Ex-Fuel CASM) of approximately 5.7 cents, and an all-in fuel price of US$3.60 per gallon.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00"/>
        <w:jc w:val="left"/>
        <w:rPr>
          <w:rFonts w:ascii="Arial;sans-serif" w:hAnsi="Arial;sans-serif"/>
          <w:b/>
          <w:color w:val="000000"/>
          <w:sz w:val="28"/>
        </w:rPr>
      </w:pPr>
      <w:r>
        <w:rPr>
          <w:rFonts w:ascii="Arial;sans-serif" w:hAnsi="Arial;sans-serif"/>
          <w:b/>
          <w:color w:val="000000"/>
          <w:sz w:val="28"/>
        </w:rPr>
        <w:t>Conference Call and Webcast</w:t>
      </w:r>
    </w:p>
    <w:p>
      <w:pPr>
        <w:pStyle w:val="TextBody"/>
        <w:bidi w:val="0"/>
        <w:spacing w:lineRule="auto" w:line="288" w:before="140" w:after="100"/>
        <w:jc w:val="both"/>
        <w:rPr>
          <w:rFonts w:ascii="Arial;sans-serif" w:hAnsi="Arial;sans-serif"/>
          <w:b w:val="false"/>
          <w:color w:val="000000"/>
          <w:sz w:val="20"/>
        </w:rPr>
      </w:pPr>
      <w:r>
        <w:rPr>
          <w:rFonts w:ascii="Arial;sans-serif" w:hAnsi="Arial;sans-serif"/>
          <w:b w:val="false"/>
          <w:color w:val="000000"/>
          <w:sz w:val="20"/>
        </w:rPr>
        <w:t>The Company will hold its financial results conference call tomorrow at 11am ET (10am local). Details follow:</w:t>
      </w:r>
    </w:p>
    <w:tbl>
      <w:tblPr>
        <w:tblW w:w="9808" w:type="dxa"/>
        <w:jc w:val="left"/>
        <w:tblInd w:w="0" w:type="dxa"/>
        <w:tblLayout w:type="fixed"/>
        <w:tblCellMar>
          <w:top w:w="28" w:type="dxa"/>
          <w:left w:w="28" w:type="dxa"/>
          <w:bottom w:w="28" w:type="dxa"/>
          <w:right w:w="28" w:type="dxa"/>
        </w:tblCellMar>
      </w:tblPr>
      <w:tblGrid>
        <w:gridCol w:w="761"/>
        <w:gridCol w:w="671"/>
        <w:gridCol w:w="682"/>
        <w:gridCol w:w="2250"/>
        <w:gridCol w:w="2250"/>
        <w:gridCol w:w="3194"/>
      </w:tblGrid>
      <w:tr>
        <w:trPr/>
        <w:tc>
          <w:tcPr>
            <w:tcW w:w="76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319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Date:</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6, 2026</w:t>
            </w:r>
          </w:p>
        </w:tc>
      </w:tr>
      <w:tr>
        <w:trPr/>
        <w:tc>
          <w:tcPr>
            <w:tcW w:w="21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Time:</w:t>
            </w:r>
          </w:p>
        </w:tc>
        <w:tc>
          <w:tcPr>
            <w:tcW w:w="76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 xml:space="preserve">11:00 AM US ET (10:00 AM Local Time) </w:t>
            </w:r>
          </w:p>
        </w:tc>
      </w:tr>
      <w:tr>
        <w:trPr/>
        <w:tc>
          <w:tcPr>
            <w:tcW w:w="21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 xml:space="preserve">Join by phone: </w:t>
            </w:r>
          </w:p>
        </w:tc>
        <w:tc>
          <w:tcPr>
            <w:tcW w:w="76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https://register-conf.media-server.com/register/BI7731c79e95974416b07d2c80288ff022</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Webcast (listen-only):</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https://ir.copaair.com/events-and-presentations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8"/>
        </w:rPr>
      </w:pPr>
      <w:r>
        <w:rPr>
          <w:rFonts w:ascii="Arial;sans-serif" w:hAnsi="Arial;sans-serif"/>
          <w:b/>
          <w:color w:val="000000"/>
          <w:sz w:val="28"/>
        </w:rPr>
        <w:t xml:space="preserve">About Copa Holdings </w:t>
      </w:r>
    </w:p>
    <w:p>
      <w:pPr>
        <w:pStyle w:val="TextBody"/>
        <w:bidi w:val="0"/>
        <w:spacing w:lineRule="auto" w:line="288" w:before="0" w:after="100"/>
        <w:jc w:val="both"/>
        <w:rPr>
          <w:rFonts w:ascii="Arial;sans-serif" w:hAnsi="Arial;sans-serif"/>
          <w:b w:val="false"/>
          <w:color w:val="000000"/>
          <w:sz w:val="20"/>
        </w:rPr>
      </w:pPr>
      <w:r>
        <w:rPr>
          <w:rFonts w:ascii="Arial;sans-serif" w:hAnsi="Arial;sans-serif"/>
          <w:b w:val="false"/>
          <w:color w:val="000000"/>
          <w:sz w:val="20"/>
        </w:rPr>
        <w:t xml:space="preserve">Copa Holdings is a leading Latin American provider of passenger and cargo services. The Company, through its operating subsidiaries, provides service to over 30 countries in North, Central, and South America and the Caribbean. For more information, visit: www.copaair.com. </w:t>
      </w:r>
    </w:p>
    <w:p>
      <w:pPr>
        <w:pStyle w:val="TextBody"/>
        <w:bidi w:val="0"/>
        <w:spacing w:before="0" w:after="60"/>
        <w:jc w:val="both"/>
        <w:rPr/>
      </w:pPr>
      <w:r>
        <w:rPr/>
      </w:r>
    </w:p>
    <w:p>
      <w:pPr>
        <w:pStyle w:val="TextBody"/>
        <w:bidi w:val="0"/>
        <w:spacing w:lineRule="auto" w:line="240" w:before="0" w:after="0"/>
        <w:jc w:val="both"/>
        <w:rPr>
          <w:rFonts w:ascii="Arial;sans-serif" w:hAnsi="Arial;sans-serif"/>
          <w:b/>
          <w:color w:val="000000"/>
          <w:sz w:val="20"/>
        </w:rPr>
      </w:pPr>
      <w:r>
        <w:rPr>
          <w:rFonts w:ascii="Arial;sans-serif" w:hAnsi="Arial;sans-serif"/>
          <w:b/>
          <w:color w:val="000000"/>
          <w:sz w:val="20"/>
        </w:rPr>
        <w:t>Investor Relations</w:t>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investor.relations@copaair.com</w:t>
      </w:r>
    </w:p>
    <w:p>
      <w:pPr>
        <w:pStyle w:val="TextBody"/>
        <w:bidi w:val="0"/>
        <w:spacing w:before="0" w:after="120"/>
        <w:jc w:val="both"/>
        <w:rPr/>
      </w:pPr>
      <w:r>
        <w:rPr/>
      </w:r>
    </w:p>
    <w:p>
      <w:pPr>
        <w:pStyle w:val="TextBody"/>
        <w:bidi w:val="0"/>
        <w:spacing w:lineRule="auto" w:line="288" w:before="0" w:after="100"/>
        <w:jc w:val="left"/>
        <w:rPr>
          <w:rFonts w:ascii="Arial;sans-serif" w:hAnsi="Arial;sans-serif"/>
          <w:b/>
          <w:color w:val="000000"/>
          <w:sz w:val="28"/>
        </w:rPr>
      </w:pPr>
      <w:r>
        <w:rPr>
          <w:rFonts w:ascii="Arial;sans-serif" w:hAnsi="Arial;sans-serif"/>
          <w:b/>
          <w:color w:val="000000"/>
          <w:sz w:val="28"/>
        </w:rPr>
        <w:t>Cautionary statement regarding forward-looking statements</w:t>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This release includes “forward-looking statements” within the meaning of the Private Securities Litigation Reform Act of 1995. Such forward-looking statements are based on current plans, estimates, and expectations, and are not guarantees of future performance. They are based on management’s expectations that involve several business risks and uncertainties, any of which could cause actual results to differ materially from those expressed in or implied by the forward-looking statements. The Company undertakes no obligation to update or revise any forward-looking statement. The risks and uncertainties relating to the forward-looking statements in this release are among those disclosed in Copa Holdings’ filed disclosure documents and are, therefore, subject to change without prior notice.</w:t>
      </w:r>
    </w:p>
    <w:p>
      <w:pPr>
        <w:pStyle w:val="TextBody"/>
        <w:bidi w:val="0"/>
        <w:spacing w:before="200" w:after="200"/>
        <w:jc w:val="both"/>
        <w:rPr/>
      </w:pPr>
      <w:r>
        <w:rPr/>
      </w:r>
    </w:p>
    <w:p>
      <w:pPr>
        <w:pStyle w:val="TextBody"/>
        <w:bidi w:val="0"/>
        <w:spacing w:before="200" w:after="200"/>
        <w:jc w:val="both"/>
        <w:rPr/>
      </w:pPr>
      <w:r>
        <w:rPr/>
      </w:r>
    </w:p>
    <w:p>
      <w:pPr>
        <w:pStyle w:val="TextBody"/>
        <w:bidi w:val="0"/>
        <w:spacing w:before="200" w:after="200"/>
        <w:jc w:val="both"/>
        <w:rPr/>
      </w:pPr>
      <w:r>
        <w:rPr/>
      </w:r>
    </w:p>
    <w:p>
      <w:pPr>
        <w:pStyle w:val="TextBody"/>
        <w:bidi w:val="0"/>
        <w:spacing w:before="20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275"/>
        <w:jc w:val="left"/>
        <w:rPr/>
      </w:pPr>
      <w:r>
        <w:rPr/>
        <w:drawing>
          <wp:inline distT="0" distB="0" distL="0" distR="0">
            <wp:extent cx="7400925" cy="12287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7400925" cy="1228725"/>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01040"/>
                <wp:effectExtent l="0" t="0" r="0" b="0"/>
                <wp:wrapNone/>
                <wp:docPr id="9" name="Frame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40" w:before="0" w:after="0"/>
                              <w:jc w:val="right"/>
                              <w:rPr>
                                <w:color w:val="000000"/>
                              </w:rPr>
                            </w:pPr>
                            <w:r>
                              <w:rPr>
                                <w:color w:val="000000"/>
                              </w:rPr>
                              <w:t>    </w:t>
                            </w:r>
                            <w:r>
                              <w:rPr>
                                <w:rFonts w:ascii="Arial;sans-serif" w:hAnsi="Arial;sans-serif"/>
                                <w:b w:val="false"/>
                                <w:color w:val="000000"/>
                                <w:sz w:val="18"/>
                              </w:rPr>
                              <w:t>3</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57.05pt;mso-position-horizontal:left;mso-position-horizontal-relative:text">
                <v:textbox>
                  <w:txbxContent>
                    <w:p>
                      <w:pPr>
                        <w:pStyle w:val="TextBody"/>
                        <w:bidi w:val="0"/>
                        <w:spacing w:before="0" w:after="0"/>
                        <w:jc w:val="right"/>
                        <w:rPr/>
                      </w:pPr>
                      <w:r>
                        <w:rPr/>
                      </w:r>
                    </w:p>
                    <w:p>
                      <w:pPr>
                        <w:pStyle w:val="TextBody"/>
                        <w:bidi w:val="0"/>
                        <w:spacing w:lineRule="auto" w:line="240" w:before="0" w:after="0"/>
                        <w:jc w:val="right"/>
                        <w:rPr>
                          <w:color w:val="000000"/>
                        </w:rPr>
                      </w:pPr>
                      <w:r>
                        <w:rPr>
                          <w:color w:val="000000"/>
                        </w:rPr>
                        <w:t>    </w:t>
                      </w:r>
                      <w:r>
                        <w:rPr>
                          <w:rFonts w:ascii="Arial;sans-serif" w:hAnsi="Arial;sans-serif"/>
                          <w:b w:val="false"/>
                          <w:color w:val="000000"/>
                          <w:sz w:val="18"/>
                        </w:rPr>
                        <w:t>3</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Copa Holdings, S. A. and Subsidiaries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Consolidated Operating and Financial Statistics</w:t>
      </w:r>
    </w:p>
    <w:tbl>
      <w:tblPr>
        <w:tblW w:w="10205" w:type="dxa"/>
        <w:jc w:val="left"/>
        <w:tblInd w:w="0" w:type="dxa"/>
        <w:tblLayout w:type="fixed"/>
        <w:tblCellMar>
          <w:top w:w="28" w:type="dxa"/>
          <w:left w:w="28" w:type="dxa"/>
          <w:bottom w:w="28" w:type="dxa"/>
          <w:right w:w="28" w:type="dxa"/>
        </w:tblCellMar>
      </w:tblPr>
      <w:tblGrid>
        <w:gridCol w:w="1002"/>
        <w:gridCol w:w="881"/>
        <w:gridCol w:w="886"/>
        <w:gridCol w:w="322"/>
        <w:gridCol w:w="324"/>
        <w:gridCol w:w="261"/>
        <w:gridCol w:w="322"/>
        <w:gridCol w:w="324"/>
        <w:gridCol w:w="261"/>
        <w:gridCol w:w="224"/>
        <w:gridCol w:w="224"/>
        <w:gridCol w:w="468"/>
        <w:gridCol w:w="322"/>
        <w:gridCol w:w="324"/>
        <w:gridCol w:w="261"/>
        <w:gridCol w:w="224"/>
        <w:gridCol w:w="224"/>
        <w:gridCol w:w="468"/>
        <w:gridCol w:w="322"/>
        <w:gridCol w:w="324"/>
        <w:gridCol w:w="314"/>
        <w:gridCol w:w="322"/>
        <w:gridCol w:w="324"/>
        <w:gridCol w:w="314"/>
        <w:gridCol w:w="214"/>
        <w:gridCol w:w="214"/>
        <w:gridCol w:w="535"/>
      </w:tblGrid>
      <w:tr>
        <w:trPr/>
        <w:tc>
          <w:tcPr>
            <w:tcW w:w="100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2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2Q25</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1Q26</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YTD26</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YTD25</w:t>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Passengers Carried (000s)</w:t>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4,138 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3,600 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14.9 </w:t>
            </w:r>
          </w:p>
        </w:tc>
        <w:tc>
          <w:tcPr>
            <w:tcW w:w="4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4,096 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4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8,234 </w:t>
            </w:r>
          </w:p>
        </w:tc>
        <w:tc>
          <w:tcPr>
            <w:tcW w:w="3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7,112 </w:t>
            </w:r>
          </w:p>
        </w:tc>
        <w:tc>
          <w:tcPr>
            <w:tcW w:w="3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15.8 </w:t>
            </w:r>
          </w:p>
        </w:tc>
        <w:tc>
          <w:tcPr>
            <w:tcW w:w="5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Passengers OnBoard (000s)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6,176 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5,366 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15.1 </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6,014 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12,190 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10,574 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15.3 </w:t>
            </w:r>
          </w:p>
        </w:tc>
        <w:tc>
          <w:tcPr>
            <w:tcW w:w="53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RPMs (millions) </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7,936 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6,859 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15.7 </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7,755 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15,691 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13,602 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15.4 </w:t>
            </w:r>
          </w:p>
        </w:tc>
        <w:tc>
          <w:tcPr>
            <w:tcW w:w="53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ASMs (millions) </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9,150 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7,856 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16.5 </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8,892 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18,042 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15,657 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15.2 </w:t>
            </w:r>
          </w:p>
        </w:tc>
        <w:tc>
          <w:tcPr>
            <w:tcW w:w="53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7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 xml:space="preserve">Load Factor </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86.7 </w:t>
            </w:r>
          </w:p>
        </w:tc>
        <w:tc>
          <w:tcPr>
            <w:tcW w:w="2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87.3 </w:t>
            </w:r>
          </w:p>
        </w:tc>
        <w:tc>
          <w:tcPr>
            <w:tcW w:w="2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 p.p</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87.2 </w:t>
            </w:r>
          </w:p>
        </w:tc>
        <w:tc>
          <w:tcPr>
            <w:tcW w:w="2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 p.p</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87.0 </w:t>
            </w:r>
          </w:p>
        </w:tc>
        <w:tc>
          <w:tcPr>
            <w:tcW w:w="3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86.9 </w:t>
            </w:r>
          </w:p>
        </w:tc>
        <w:tc>
          <w:tcPr>
            <w:tcW w:w="3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9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 p.p</w:t>
            </w:r>
          </w:p>
        </w:tc>
      </w:tr>
      <w:tr>
        <w:trPr/>
        <w:tc>
          <w:tcPr>
            <w:tcW w:w="27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 xml:space="preserve">Yield (US$ Cents) </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8.7 </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5.0 </w:t>
            </w:r>
          </w:p>
        </w:tc>
        <w:tc>
          <w:tcPr>
            <w:tcW w:w="53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 xml:space="preserve">PRASM (US$ Cents) </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8.0 </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5.1 </w:t>
            </w:r>
          </w:p>
        </w:tc>
        <w:tc>
          <w:tcPr>
            <w:tcW w:w="53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RASM (US$ Cents) </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7.9 </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5.2 </w:t>
            </w:r>
          </w:p>
        </w:tc>
        <w:tc>
          <w:tcPr>
            <w:tcW w:w="53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CASM (US$ Cents) </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26.0 </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18.5 </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13.7 </w:t>
            </w:r>
          </w:p>
        </w:tc>
        <w:tc>
          <w:tcPr>
            <w:tcW w:w="53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 xml:space="preserve">CASM Excl. Fuel (US$ Cents) </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w:t>
            </w:r>
          </w:p>
        </w:tc>
        <w:tc>
          <w:tcPr>
            <w:tcW w:w="53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Fuel Gallons Consumed (millions) </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105.0 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91.9 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14.2 </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102.7 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207.6 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182.8 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13.6 </w:t>
            </w:r>
          </w:p>
        </w:tc>
        <w:tc>
          <w:tcPr>
            <w:tcW w:w="53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Avg. Price Per Fuel Gallon (US$)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4.28 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84.8 </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56.8 </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3.51 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44.8 </w:t>
            </w:r>
          </w:p>
        </w:tc>
        <w:tc>
          <w:tcPr>
            <w:tcW w:w="53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7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Average Length of Haul (miles)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1,918 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1,905 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0.7 </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1,893 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1,906 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1,912 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w:t>
            </w:r>
          </w:p>
        </w:tc>
        <w:tc>
          <w:tcPr>
            <w:tcW w:w="53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Stage Length (miles)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1,255 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1,231 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1,260 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1,257 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1,245 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53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7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Departures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44,301 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38,985 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13.6 </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43,033 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87,334 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76,814 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13.7 </w:t>
            </w:r>
          </w:p>
        </w:tc>
        <w:tc>
          <w:tcPr>
            <w:tcW w:w="53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7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Block Hours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142,113 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122,526 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16.0 </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138,479 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280,592 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244,137 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14.9 </w:t>
            </w:r>
          </w:p>
        </w:tc>
        <w:tc>
          <w:tcPr>
            <w:tcW w:w="53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7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Average Aircraft Utilization (hours)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w:t>
            </w:r>
          </w:p>
        </w:tc>
        <w:tc>
          <w:tcPr>
            <w:tcW w:w="4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53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firstLine="90"/>
        <w:jc w:val="both"/>
        <w:rPr/>
      </w:pPr>
      <w:r>
        <w:rPr/>
      </w:r>
    </w:p>
    <w:p>
      <w:pPr>
        <w:pStyle w:val="TextBody"/>
        <w:bidi w:val="0"/>
        <w:spacing w:before="0" w:after="0"/>
        <w:ind w:left="0" w:right="0" w:firstLine="9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275"/>
        <w:jc w:val="left"/>
        <w:rPr/>
      </w:pPr>
      <w:r>
        <w:rPr/>
        <w:drawing>
          <wp:inline distT="0" distB="0" distL="0" distR="0">
            <wp:extent cx="7400925" cy="12287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7400925" cy="1228725"/>
                    </a:xfrm>
                    <a:prstGeom prst="rect">
                      <a:avLst/>
                    </a:prstGeom>
                  </pic:spPr>
                </pic:pic>
              </a:graphicData>
            </a:graphic>
          </wp:inline>
        </w:drawing>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01040"/>
                <wp:effectExtent l="0" t="0" r="0" b="0"/>
                <wp:wrapNone/>
                <wp:docPr id="11" name="Frame6"/>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40" w:before="0" w:after="0"/>
                              <w:jc w:val="right"/>
                              <w:rPr>
                                <w:color w:val="000000"/>
                              </w:rPr>
                            </w:pPr>
                            <w:r>
                              <w:rPr>
                                <w:color w:val="000000"/>
                              </w:rPr>
                              <w:t>    </w:t>
                            </w:r>
                            <w:r>
                              <w:rPr>
                                <w:rFonts w:ascii="Arial;sans-serif" w:hAnsi="Arial;sans-serif"/>
                                <w:b w:val="false"/>
                                <w:color w:val="000000"/>
                                <w:sz w:val="18"/>
                              </w:rPr>
                              <w:t>4</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57.05pt;mso-position-horizontal:left;mso-position-horizontal-relative:text">
                <v:textbox>
                  <w:txbxContent>
                    <w:p>
                      <w:pPr>
                        <w:pStyle w:val="TextBody"/>
                        <w:bidi w:val="0"/>
                        <w:spacing w:before="0" w:after="0"/>
                        <w:jc w:val="right"/>
                        <w:rPr/>
                      </w:pPr>
                      <w:r>
                        <w:rPr/>
                      </w:r>
                    </w:p>
                    <w:p>
                      <w:pPr>
                        <w:pStyle w:val="TextBody"/>
                        <w:bidi w:val="0"/>
                        <w:spacing w:lineRule="auto" w:line="240" w:before="0" w:after="0"/>
                        <w:jc w:val="right"/>
                        <w:rPr>
                          <w:color w:val="000000"/>
                        </w:rPr>
                      </w:pPr>
                      <w:r>
                        <w:rPr>
                          <w:color w:val="000000"/>
                        </w:rPr>
                        <w:t>    </w:t>
                      </w:r>
                      <w:r>
                        <w:rPr>
                          <w:rFonts w:ascii="Arial;sans-serif" w:hAnsi="Arial;sans-serif"/>
                          <w:b w:val="false"/>
                          <w:color w:val="000000"/>
                          <w:sz w:val="18"/>
                        </w:rPr>
                        <w:t>4</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Copa Holdings, S. A. and Subsidiaries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Consolidated statement of profit or loss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 US$ thousands)</w:t>
      </w:r>
    </w:p>
    <w:tbl>
      <w:tblPr>
        <w:tblW w:w="10729" w:type="dxa"/>
        <w:jc w:val="left"/>
        <w:tblInd w:w="0" w:type="dxa"/>
        <w:tblLayout w:type="fixed"/>
        <w:tblCellMar>
          <w:top w:w="28" w:type="dxa"/>
          <w:left w:w="28" w:type="dxa"/>
          <w:bottom w:w="28" w:type="dxa"/>
          <w:right w:w="28" w:type="dxa"/>
        </w:tblCellMar>
      </w:tblPr>
      <w:tblGrid>
        <w:gridCol w:w="557"/>
        <w:gridCol w:w="239"/>
        <w:gridCol w:w="240"/>
        <w:gridCol w:w="109"/>
        <w:gridCol w:w="109"/>
        <w:gridCol w:w="109"/>
        <w:gridCol w:w="390"/>
        <w:gridCol w:w="391"/>
        <w:gridCol w:w="376"/>
        <w:gridCol w:w="109"/>
        <w:gridCol w:w="109"/>
        <w:gridCol w:w="109"/>
        <w:gridCol w:w="330"/>
        <w:gridCol w:w="331"/>
        <w:gridCol w:w="376"/>
        <w:gridCol w:w="109"/>
        <w:gridCol w:w="109"/>
        <w:gridCol w:w="109"/>
        <w:gridCol w:w="109"/>
        <w:gridCol w:w="225"/>
        <w:gridCol w:w="226"/>
        <w:gridCol w:w="291"/>
        <w:gridCol w:w="390"/>
        <w:gridCol w:w="391"/>
        <w:gridCol w:w="376"/>
        <w:gridCol w:w="109"/>
        <w:gridCol w:w="109"/>
        <w:gridCol w:w="109"/>
        <w:gridCol w:w="210"/>
        <w:gridCol w:w="211"/>
        <w:gridCol w:w="291"/>
        <w:gridCol w:w="109"/>
        <w:gridCol w:w="109"/>
        <w:gridCol w:w="109"/>
        <w:gridCol w:w="390"/>
        <w:gridCol w:w="391"/>
        <w:gridCol w:w="246"/>
        <w:gridCol w:w="109"/>
        <w:gridCol w:w="109"/>
        <w:gridCol w:w="109"/>
        <w:gridCol w:w="390"/>
        <w:gridCol w:w="391"/>
        <w:gridCol w:w="246"/>
        <w:gridCol w:w="210"/>
        <w:gridCol w:w="211"/>
        <w:gridCol w:w="342"/>
      </w:tblGrid>
      <w:tr>
        <w:trPr/>
        <w:tc>
          <w:tcPr>
            <w:tcW w:w="55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3"/>
            <w:tcBorders/>
            <w:shd w:fill="BFBF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BFBF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Unaudited</w:t>
            </w:r>
          </w:p>
        </w:tc>
        <w:tc>
          <w:tcPr>
            <w:tcW w:w="763" w:type="dxa"/>
            <w:gridSpan w:val="3"/>
            <w:tcBorders/>
            <w:shd w:fill="BFBF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3"/>
            <w:tcBorders/>
            <w:shd w:fill="BFBF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Change </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1Q26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BFBF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YTD26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YTD25</w:t>
            </w:r>
          </w:p>
        </w:tc>
        <w:tc>
          <w:tcPr>
            <w:tcW w:w="763" w:type="dxa"/>
            <w:gridSpan w:val="3"/>
            <w:tcBorders/>
            <w:shd w:fill="BFBF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Operating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Passenger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1,002,609 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797,266 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25.8</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1,004,173 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(0.2</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2,006,782 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1,656,291 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21.2</w:t>
            </w:r>
          </w:p>
        </w:tc>
        <w:tc>
          <w:tcPr>
            <w:tcW w:w="342"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Cargo and mail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34,183 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28,307 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20.8</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29,760 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14.9</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63,944 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54,001 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18.4</w:t>
            </w:r>
          </w:p>
        </w:tc>
        <w:tc>
          <w:tcPr>
            <w:tcW w:w="342"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Other operating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22,541 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17,031 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32.4</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18,490 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21.9</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41,031 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31,493 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30.3</w:t>
            </w:r>
          </w:p>
        </w:tc>
        <w:tc>
          <w:tcPr>
            <w:tcW w:w="342"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Total Operating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1,059,334</w:t>
            </w:r>
            <w:r>
              <w:rPr>
                <w:color w:val="000000"/>
              </w:rPr>
              <w:t> </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842,604</w:t>
            </w:r>
            <w:r>
              <w:rPr>
                <w:color w:val="000000"/>
              </w:rPr>
              <w:t> </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BFBFB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25.7</w:t>
            </w:r>
          </w:p>
        </w:tc>
        <w:tc>
          <w:tcPr>
            <w:tcW w:w="291" w:type="dxa"/>
            <w:tcBorders>
              <w:top w:val="single" w:sz="8" w:space="0" w:color="000000"/>
            </w:tcBorders>
            <w:shd w:fill="BFBFB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1,052,423</w:t>
            </w:r>
            <w:r>
              <w:rPr>
                <w:color w:val="000000"/>
              </w:rPr>
              <w:t> </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BFBFB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0.7</w:t>
            </w:r>
          </w:p>
        </w:tc>
        <w:tc>
          <w:tcPr>
            <w:tcW w:w="291" w:type="dxa"/>
            <w:tcBorders>
              <w:top w:val="single" w:sz="8" w:space="0" w:color="000000"/>
            </w:tcBorders>
            <w:shd w:fill="BFBFB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2,111,757</w:t>
            </w:r>
            <w:r>
              <w:rPr>
                <w:color w:val="000000"/>
              </w:rPr>
              <w:t>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1,741,785</w:t>
            </w:r>
            <w:r>
              <w:rPr>
                <w:color w:val="000000"/>
              </w:rPr>
              <w:t>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BFBFB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21.2</w:t>
            </w:r>
          </w:p>
        </w:tc>
        <w:tc>
          <w:tcPr>
            <w:tcW w:w="342" w:type="dxa"/>
            <w:tcBorders>
              <w:top w:val="single" w:sz="8" w:space="0" w:color="000000"/>
            </w:tcBorders>
            <w:shd w:fill="BFBFB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Fuel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449,552 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214,106 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110.0</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282,462 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59.2</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732,013 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446,266 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64.0</w:t>
            </w:r>
          </w:p>
        </w:tc>
        <w:tc>
          <w:tcPr>
            <w:tcW w:w="342"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Wages, salaries, benefits and other employees'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131,364 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122,289 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7.4</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137,670 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(4.6</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269,034 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239,807 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12.2</w:t>
            </w:r>
          </w:p>
        </w:tc>
        <w:tc>
          <w:tcPr>
            <w:tcW w:w="342"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Passenger servicing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29,028 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25,190 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15.2</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28,135 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3.2</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57,162 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50,214 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13.8</w:t>
            </w:r>
          </w:p>
        </w:tc>
        <w:tc>
          <w:tcPr>
            <w:tcW w:w="342"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Airport facilities and handling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77,315 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64,652 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19.6</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79,184 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(2.4</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156,499 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130,309 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20.1</w:t>
            </w:r>
          </w:p>
        </w:tc>
        <w:tc>
          <w:tcPr>
            <w:tcW w:w="342"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Sales and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57,388 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49,429 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16.1</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54,812 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4.7</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112,200 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99,691 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12.5</w:t>
            </w:r>
          </w:p>
        </w:tc>
        <w:tc>
          <w:tcPr>
            <w:tcW w:w="342"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Maintenance, materials and repairs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42,071 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36,158 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16.4</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46,612 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(9.7</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88,682 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75,592 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17.3</w:t>
            </w:r>
          </w:p>
        </w:tc>
        <w:tc>
          <w:tcPr>
            <w:tcW w:w="342"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107,539 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88,440 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21.6</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100,726 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6.8</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208,266 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174,724 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19.2</w:t>
            </w:r>
          </w:p>
        </w:tc>
        <w:tc>
          <w:tcPr>
            <w:tcW w:w="342"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Flight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42,825 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32,766 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30.7</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41,104 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4.2</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83,930 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66,515 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26.2</w:t>
            </w:r>
          </w:p>
        </w:tc>
        <w:tc>
          <w:tcPr>
            <w:tcW w:w="342"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Other operating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30,593 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26,329 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16.2</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23,083 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32.5</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53,676 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61,602 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(12.9</w:t>
            </w:r>
          </w:p>
        </w:tc>
        <w:tc>
          <w:tcPr>
            <w:tcW w:w="342"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Total Operating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967,676</w:t>
            </w:r>
            <w:r>
              <w:rPr>
                <w:color w:val="000000"/>
              </w:rPr>
              <w:t> </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659,359</w:t>
            </w:r>
            <w:r>
              <w:rPr>
                <w:color w:val="000000"/>
              </w:rPr>
              <w:t> </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BFBFB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46.8</w:t>
            </w:r>
          </w:p>
        </w:tc>
        <w:tc>
          <w:tcPr>
            <w:tcW w:w="291" w:type="dxa"/>
            <w:tcBorders>
              <w:top w:val="single" w:sz="8" w:space="0" w:color="000000"/>
            </w:tcBorders>
            <w:shd w:fill="BFBFB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793,787</w:t>
            </w:r>
            <w:r>
              <w:rPr>
                <w:color w:val="000000"/>
              </w:rPr>
              <w:t> </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BFBFB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21.9</w:t>
            </w:r>
          </w:p>
        </w:tc>
        <w:tc>
          <w:tcPr>
            <w:tcW w:w="291" w:type="dxa"/>
            <w:tcBorders>
              <w:top w:val="single" w:sz="8" w:space="0" w:color="000000"/>
            </w:tcBorders>
            <w:shd w:fill="BFBFB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1,761,463</w:t>
            </w:r>
            <w:r>
              <w:rPr>
                <w:color w:val="000000"/>
              </w:rPr>
              <w:t>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1,344,719</w:t>
            </w:r>
            <w:r>
              <w:rPr>
                <w:color w:val="000000"/>
              </w:rPr>
              <w:t>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BFBFB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31.0</w:t>
            </w:r>
          </w:p>
        </w:tc>
        <w:tc>
          <w:tcPr>
            <w:tcW w:w="342" w:type="dxa"/>
            <w:tcBorders>
              <w:top w:val="single" w:sz="8" w:space="0" w:color="000000"/>
            </w:tcBorders>
            <w:shd w:fill="BFBFB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Operating Profit/(Loss)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91,658</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183,245</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(50.0</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258,636</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(64.6</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350,294</w:t>
            </w: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397,067</w:t>
            </w: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(11.8</w:t>
            </w:r>
          </w:p>
        </w:tc>
        <w:tc>
          <w:tcPr>
            <w:tcW w:w="342"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4"/>
              </w:rPr>
            </w:pPr>
            <w:r>
              <w:rPr>
                <w:rFonts w:ascii="Arial;sans-serif" w:hAnsi="Arial;sans-serif"/>
                <w:b w:val="false"/>
                <w:i/>
                <w:color w:val="000000"/>
                <w:sz w:val="14"/>
              </w:rPr>
              <w:t>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i/>
                <w:color w:val="000000"/>
                <w:sz w:val="14"/>
              </w:rPr>
            </w:pPr>
            <w:r>
              <w:rPr>
                <w:rFonts w:ascii="Arial;sans-serif" w:hAnsi="Arial;sans-serif"/>
                <w:b w:val="false"/>
                <w:i/>
                <w:color w:val="000000"/>
                <w:sz w:val="14"/>
              </w:rPr>
              <w:t>8.7 </w:t>
            </w:r>
          </w:p>
        </w:tc>
        <w:tc>
          <w:tcPr>
            <w:tcW w:w="376"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i/>
                <w:color w:val="000000"/>
                <w:sz w:val="14"/>
              </w:rPr>
            </w:pPr>
            <w:r>
              <w:rPr>
                <w:rFonts w:ascii="Arial;sans-serif" w:hAnsi="Arial;sans-serif"/>
                <w:b w:val="false"/>
                <w:i/>
                <w:color w:val="000000"/>
                <w:sz w:val="14"/>
              </w:rPr>
              <w:t>21.7 </w:t>
            </w:r>
          </w:p>
        </w:tc>
        <w:tc>
          <w:tcPr>
            <w:tcW w:w="376"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-13.1 p.p</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i/>
                <w:color w:val="000000"/>
                <w:sz w:val="14"/>
              </w:rPr>
            </w:pPr>
            <w:r>
              <w:rPr>
                <w:rFonts w:ascii="Arial;sans-serif" w:hAnsi="Arial;sans-serif"/>
                <w:b w:val="false"/>
                <w:i/>
                <w:color w:val="000000"/>
                <w:sz w:val="14"/>
              </w:rPr>
              <w:t>24.6 </w:t>
            </w:r>
          </w:p>
        </w:tc>
        <w:tc>
          <w:tcPr>
            <w:tcW w:w="376"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-15.9 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i/>
                <w:color w:val="000000"/>
                <w:sz w:val="14"/>
              </w:rPr>
            </w:pPr>
            <w:r>
              <w:rPr>
                <w:rFonts w:ascii="Arial;sans-serif" w:hAnsi="Arial;sans-serif"/>
                <w:b w:val="false"/>
                <w:i/>
                <w:color w:val="000000"/>
                <w:sz w:val="14"/>
              </w:rPr>
              <w:t>16.6%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i/>
                <w:color w:val="000000"/>
                <w:sz w:val="14"/>
              </w:rPr>
            </w:pPr>
            <w:r>
              <w:rPr>
                <w:rFonts w:ascii="Arial;sans-serif" w:hAnsi="Arial;sans-serif"/>
                <w:b w:val="false"/>
                <w:i/>
                <w:color w:val="000000"/>
                <w:sz w:val="14"/>
              </w:rPr>
              <w:t>22.8%</w:t>
            </w:r>
          </w:p>
        </w:tc>
        <w:tc>
          <w:tcPr>
            <w:tcW w:w="7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-6.2 p.p</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Non-operating Income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Finance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(28,179)</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(23,285)</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21.0</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(25,837)</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9.1</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(54,017)</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(46,518)</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16.1</w:t>
            </w:r>
          </w:p>
        </w:tc>
        <w:tc>
          <w:tcPr>
            <w:tcW w:w="342"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Finance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16,533 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15,377 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7.5</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16,083 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2.8</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32,616 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31,170 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4.6</w:t>
            </w:r>
          </w:p>
        </w:tc>
        <w:tc>
          <w:tcPr>
            <w:tcW w:w="342"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Gain (loss) on foreign currency fluctuations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(858)</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910 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3"/>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nm</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1,518 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660 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2,280 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(71.0</w:t>
            </w:r>
          </w:p>
        </w:tc>
        <w:tc>
          <w:tcPr>
            <w:tcW w:w="342"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Net change in fair value of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(1,040)</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(1,688)</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(38.4</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(1,066)</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(2.5</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(2,106)</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(4,122)</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(48.9</w:t>
            </w:r>
          </w:p>
        </w:tc>
        <w:tc>
          <w:tcPr>
            <w:tcW w:w="342"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Other non-operating income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(832)</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(397)</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109.6</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(2,279)</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(63.5</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(3,111)</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1,031 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nm</w:t>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Total Non-Operating Income/(Expense)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(14,377)</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(9,083)</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BFBFB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58.3</w:t>
            </w:r>
          </w:p>
        </w:tc>
        <w:tc>
          <w:tcPr>
            <w:tcW w:w="291" w:type="dxa"/>
            <w:tcBorders>
              <w:top w:val="single" w:sz="8" w:space="0" w:color="000000"/>
            </w:tcBorders>
            <w:shd w:fill="BFBFB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(11,581)</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BFBFB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24.1</w:t>
            </w:r>
          </w:p>
        </w:tc>
        <w:tc>
          <w:tcPr>
            <w:tcW w:w="291" w:type="dxa"/>
            <w:tcBorders>
              <w:top w:val="single" w:sz="8" w:space="0" w:color="000000"/>
            </w:tcBorders>
            <w:shd w:fill="BFBFB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(25,958)</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(16,160)</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BFBFB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60.6</w:t>
            </w:r>
          </w:p>
        </w:tc>
        <w:tc>
          <w:tcPr>
            <w:tcW w:w="342" w:type="dxa"/>
            <w:tcBorders>
              <w:top w:val="single" w:sz="8" w:space="0" w:color="000000"/>
            </w:tcBorders>
            <w:shd w:fill="BFBFB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Profit before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77,282</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174,162</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(55.6</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247,054</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(68.7</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324,336</w:t>
            </w: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380,906</w:t>
            </w: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(14.9</w:t>
            </w:r>
          </w:p>
        </w:tc>
        <w:tc>
          <w:tcPr>
            <w:tcW w:w="342"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(9,107)</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(25,253)</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(63.9</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(34,588)</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(73.7</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(43,694)</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(55,231)</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(20.9</w:t>
            </w:r>
          </w:p>
        </w:tc>
        <w:tc>
          <w:tcPr>
            <w:tcW w:w="342"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Net Profit/(Loss)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68,175</w:t>
            </w:r>
            <w:r>
              <w:rPr>
                <w:color w:val="000000"/>
              </w:rPr>
              <w:t> </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148,908</w:t>
            </w:r>
            <w:r>
              <w:rPr>
                <w:color w:val="000000"/>
              </w:rPr>
              <w:t> </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BFBFB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(54.2</w:t>
            </w:r>
          </w:p>
        </w:tc>
        <w:tc>
          <w:tcPr>
            <w:tcW w:w="291" w:type="dxa"/>
            <w:tcBorders>
              <w:top w:val="single" w:sz="8" w:space="0" w:color="000000"/>
            </w:tcBorders>
            <w:shd w:fill="BFBFB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212,467</w:t>
            </w:r>
            <w:r>
              <w:rPr>
                <w:color w:val="000000"/>
              </w:rPr>
              <w:t> </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BFBFB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(67.9</w:t>
            </w:r>
          </w:p>
        </w:tc>
        <w:tc>
          <w:tcPr>
            <w:tcW w:w="291" w:type="dxa"/>
            <w:tcBorders>
              <w:top w:val="single" w:sz="8" w:space="0" w:color="000000"/>
            </w:tcBorders>
            <w:shd w:fill="BFBFB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280,642</w:t>
            </w:r>
            <w:r>
              <w:rPr>
                <w:color w:val="000000"/>
              </w:rPr>
              <w:t>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325,675</w:t>
            </w:r>
            <w:r>
              <w:rPr>
                <w:color w:val="000000"/>
              </w:rPr>
              <w:t>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BFBFB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(13.8</w:t>
            </w:r>
          </w:p>
        </w:tc>
        <w:tc>
          <w:tcPr>
            <w:tcW w:w="342" w:type="dxa"/>
            <w:tcBorders>
              <w:top w:val="single" w:sz="8" w:space="0" w:color="000000"/>
            </w:tcBorders>
            <w:shd w:fill="BFBFB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4"/>
              </w:rPr>
            </w:pPr>
            <w:r>
              <w:rPr>
                <w:rFonts w:ascii="Arial;sans-serif" w:hAnsi="Arial;sans-serif"/>
                <w:b w:val="false"/>
                <w:i/>
                <w:color w:val="000000"/>
                <w:sz w:val="14"/>
              </w:rPr>
              <w:t>Net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i/>
                <w:color w:val="000000"/>
                <w:sz w:val="14"/>
              </w:rPr>
            </w:pPr>
            <w:r>
              <w:rPr>
                <w:rFonts w:ascii="Arial;sans-serif" w:hAnsi="Arial;sans-serif"/>
                <w:b w:val="false"/>
                <w:i/>
                <w:color w:val="000000"/>
                <w:sz w:val="14"/>
              </w:rPr>
              <w:t>6.4 </w:t>
            </w:r>
          </w:p>
        </w:tc>
        <w:tc>
          <w:tcPr>
            <w:tcW w:w="376"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i/>
                <w:color w:val="000000"/>
                <w:sz w:val="14"/>
              </w:rPr>
            </w:pPr>
            <w:r>
              <w:rPr>
                <w:rFonts w:ascii="Arial;sans-serif" w:hAnsi="Arial;sans-serif"/>
                <w:b w:val="false"/>
                <w:i/>
                <w:color w:val="000000"/>
                <w:sz w:val="14"/>
              </w:rPr>
              <w:t>17.7 </w:t>
            </w:r>
          </w:p>
        </w:tc>
        <w:tc>
          <w:tcPr>
            <w:tcW w:w="376"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-11.2 p.p</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i/>
                <w:color w:val="000000"/>
                <w:sz w:val="14"/>
              </w:rPr>
            </w:pPr>
            <w:r>
              <w:rPr>
                <w:rFonts w:ascii="Arial;sans-serif" w:hAnsi="Arial;sans-serif"/>
                <w:b w:val="false"/>
                <w:i/>
                <w:color w:val="000000"/>
                <w:sz w:val="14"/>
              </w:rPr>
              <w:t>20.2 </w:t>
            </w:r>
          </w:p>
        </w:tc>
        <w:tc>
          <w:tcPr>
            <w:tcW w:w="376"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-13.8 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i/>
                <w:color w:val="000000"/>
                <w:sz w:val="14"/>
              </w:rPr>
            </w:pPr>
            <w:r>
              <w:rPr>
                <w:rFonts w:ascii="Arial;sans-serif" w:hAnsi="Arial;sans-serif"/>
                <w:b w:val="false"/>
                <w:i/>
                <w:color w:val="000000"/>
                <w:sz w:val="14"/>
              </w:rPr>
              <w:t>13.3%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i/>
                <w:color w:val="000000"/>
                <w:sz w:val="14"/>
              </w:rPr>
            </w:pPr>
            <w:r>
              <w:rPr>
                <w:rFonts w:ascii="Arial;sans-serif" w:hAnsi="Arial;sans-serif"/>
                <w:b w:val="false"/>
                <w:i/>
                <w:color w:val="000000"/>
                <w:sz w:val="14"/>
              </w:rPr>
              <w:t>18.7%</w:t>
            </w:r>
          </w:p>
        </w:tc>
        <w:tc>
          <w:tcPr>
            <w:tcW w:w="7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-5.4 p.p</w:t>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Basic Earnings Per Share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1.67</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3.61</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-53.9</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5.16</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-67.7</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6.84</w:t>
            </w: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4"/>
              </w:rPr>
              <w:t>7.89</w:t>
            </w: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-13.4</w:t>
            </w:r>
          </w:p>
        </w:tc>
        <w:tc>
          <w:tcPr>
            <w:tcW w:w="342"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4"/>
              </w:rPr>
            </w:pPr>
            <w:r>
              <w:rPr>
                <w:rFonts w:ascii="Arial;sans-serif" w:hAnsi="Arial;sans-serif"/>
                <w:b w:val="false"/>
                <w:color w:val="000000"/>
                <w:sz w:val="14"/>
              </w:rPr>
              <w:t>Shares for calculation of Basic EPS (000s)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40,905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41,246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-0.8</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115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41,183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-0.7</w:t>
            </w:r>
          </w:p>
        </w:tc>
        <w:tc>
          <w:tcPr>
            <w:tcW w:w="291"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41,269</w:t>
            </w:r>
          </w:p>
        </w:tc>
        <w:tc>
          <w:tcPr>
            <w:tcW w:w="421" w:type="dxa"/>
            <w:gridSpan w:val="2"/>
            <w:tcBorders/>
            <w:shd w:fill="BFBFB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-0.5</w:t>
            </w:r>
          </w:p>
        </w:tc>
        <w:tc>
          <w:tcPr>
            <w:tcW w:w="342" w:type="dxa"/>
            <w:tcBorders/>
            <w:shd w:fill="BFBFB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r>
    </w:tbl>
    <w:p>
      <w:pPr>
        <w:pStyle w:val="TextBody"/>
        <w:bidi w:val="0"/>
        <w:spacing w:before="200" w:after="200"/>
        <w:jc w:val="left"/>
        <w:rPr/>
      </w:pPr>
      <w:r>
        <w:rPr/>
      </w:r>
    </w:p>
    <w:p>
      <w:pPr>
        <w:pStyle w:val="TextBody"/>
        <w:bidi w:val="0"/>
        <w:spacing w:before="200" w:after="200"/>
        <w:jc w:val="left"/>
        <w:rPr/>
      </w:pPr>
      <w:r>
        <w:rPr/>
      </w:r>
    </w:p>
    <w:p>
      <w:pPr>
        <w:pStyle w:val="TextBody"/>
        <w:bidi w:val="0"/>
        <w:spacing w:before="200" w:after="200"/>
        <w:jc w:val="left"/>
        <w:rPr/>
      </w:pPr>
      <w:r>
        <w:rPr/>
      </w:r>
    </w:p>
    <w:p>
      <w:pPr>
        <w:pStyle w:val="TextBody"/>
        <w:bidi w:val="0"/>
        <w:spacing w:before="200" w:after="200"/>
        <w:jc w:val="left"/>
        <w:rPr/>
      </w:pPr>
      <w:r>
        <w:rPr/>
      </w:r>
    </w:p>
    <w:p>
      <w:pPr>
        <w:pStyle w:val="TextBody"/>
        <w:bidi w:val="0"/>
        <w:spacing w:before="200" w:after="200"/>
        <w:jc w:val="left"/>
        <w:rPr/>
      </w:pPr>
      <w:r>
        <w:rPr/>
      </w:r>
    </w:p>
    <w:p>
      <w:pPr>
        <w:pStyle w:val="TextBody"/>
        <w:bidi w:val="0"/>
        <w:spacing w:before="2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275"/>
        <w:jc w:val="left"/>
        <w:rPr/>
      </w:pPr>
      <w:r>
        <w:rPr/>
        <w:drawing>
          <wp:inline distT="0" distB="0" distL="0" distR="0">
            <wp:extent cx="7400925" cy="122872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7400925" cy="1228725"/>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01040"/>
                <wp:effectExtent l="0" t="0" r="0" b="0"/>
                <wp:wrapNone/>
                <wp:docPr id="13" name="Frame7"/>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40" w:before="0" w:after="0"/>
                              <w:jc w:val="right"/>
                              <w:rPr>
                                <w:color w:val="000000"/>
                              </w:rPr>
                            </w:pPr>
                            <w:r>
                              <w:rPr>
                                <w:color w:val="000000"/>
                              </w:rPr>
                              <w:t>    </w:t>
                            </w:r>
                            <w:r>
                              <w:rPr>
                                <w:rFonts w:ascii="Arial;sans-serif" w:hAnsi="Arial;sans-serif"/>
                                <w:b w:val="false"/>
                                <w:color w:val="000000"/>
                                <w:sz w:val="18"/>
                              </w:rPr>
                              <w:t>5</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57.05pt;mso-position-horizontal:left;mso-position-horizontal-relative:text">
                <v:textbox>
                  <w:txbxContent>
                    <w:p>
                      <w:pPr>
                        <w:pStyle w:val="TextBody"/>
                        <w:bidi w:val="0"/>
                        <w:spacing w:before="0" w:after="0"/>
                        <w:jc w:val="right"/>
                        <w:rPr/>
                      </w:pPr>
                      <w:r>
                        <w:rPr/>
                      </w:r>
                    </w:p>
                    <w:p>
                      <w:pPr>
                        <w:pStyle w:val="TextBody"/>
                        <w:bidi w:val="0"/>
                        <w:spacing w:lineRule="auto" w:line="240" w:before="0" w:after="0"/>
                        <w:jc w:val="right"/>
                        <w:rPr>
                          <w:color w:val="000000"/>
                        </w:rPr>
                      </w:pPr>
                      <w:r>
                        <w:rPr>
                          <w:color w:val="000000"/>
                        </w:rPr>
                        <w:t>    </w:t>
                      </w:r>
                      <w:r>
                        <w:rPr>
                          <w:rFonts w:ascii="Arial;sans-serif" w:hAnsi="Arial;sans-serif"/>
                          <w:b w:val="false"/>
                          <w:color w:val="000000"/>
                          <w:sz w:val="18"/>
                        </w:rPr>
                        <w:t>5</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left"/>
        <w:rPr>
          <w:rFonts w:ascii="Arial;sans-serif" w:hAnsi="Arial;sans-serif"/>
          <w:b/>
          <w:color w:val="000000"/>
          <w:sz w:val="28"/>
        </w:rPr>
      </w:pPr>
      <w:r>
        <w:rPr>
          <w:rFonts w:ascii="Arial;sans-serif" w:hAnsi="Arial;sans-serif"/>
          <w:b/>
          <w:color w:val="000000"/>
          <w:sz w:val="28"/>
        </w:rPr>
        <w:t>Operating revenue</w:t>
      </w:r>
    </w:p>
    <w:p>
      <w:pPr>
        <w:pStyle w:val="TextBody"/>
        <w:bidi w:val="0"/>
        <w:spacing w:lineRule="auto" w:line="288" w:before="140" w:after="100"/>
        <w:jc w:val="both"/>
        <w:rPr/>
      </w:pPr>
      <w:r>
        <w:rPr>
          <w:rFonts w:ascii="Arial;sans-serif" w:hAnsi="Arial;sans-serif"/>
          <w:b/>
          <w:i/>
          <w:color w:val="000000"/>
          <w:sz w:val="20"/>
        </w:rPr>
        <w:t>Consolidated revenue</w:t>
      </w:r>
      <w:r>
        <w:rPr>
          <w:color w:val="000000"/>
        </w:rPr>
        <w:t xml:space="preserve"> </w:t>
      </w:r>
      <w:r>
        <w:rPr>
          <w:rFonts w:ascii="Arial;sans-serif" w:hAnsi="Arial;sans-serif"/>
          <w:b w:val="false"/>
          <w:color w:val="000000"/>
          <w:sz w:val="20"/>
        </w:rPr>
        <w:t>for 2Q26 totaled US$1.1 billion, a 25.7% increase compared to 2Q25, driven by capacity growth and higher unit revenues.</w:t>
      </w:r>
    </w:p>
    <w:p>
      <w:pPr>
        <w:pStyle w:val="TextBody"/>
        <w:bidi w:val="0"/>
        <w:spacing w:lineRule="auto" w:line="288" w:before="140" w:after="100"/>
        <w:jc w:val="both"/>
        <w:rPr/>
      </w:pPr>
      <w:r>
        <w:rPr>
          <w:rFonts w:ascii="Arial;sans-serif" w:hAnsi="Arial;sans-serif"/>
          <w:b/>
          <w:i/>
          <w:color w:val="000000"/>
          <w:sz w:val="20"/>
        </w:rPr>
        <w:t>Passenger revenue</w:t>
      </w:r>
      <w:r>
        <w:rPr>
          <w:color w:val="000000"/>
        </w:rPr>
        <w:t xml:space="preserve"> </w:t>
      </w:r>
      <w:r>
        <w:rPr>
          <w:rFonts w:ascii="Arial;sans-serif" w:hAnsi="Arial;sans-serif"/>
          <w:b w:val="false"/>
          <w:color w:val="000000"/>
          <w:sz w:val="20"/>
        </w:rPr>
        <w:t>totaled US$1.0 billion, an increase of 25.8% year-over-year, as a result of a 15.7% increase in RPMs and an 8.7% increase in passenger yield.</w:t>
      </w:r>
    </w:p>
    <w:p>
      <w:pPr>
        <w:pStyle w:val="TextBody"/>
        <w:bidi w:val="0"/>
        <w:spacing w:lineRule="auto" w:line="288" w:before="140" w:after="100"/>
        <w:jc w:val="both"/>
        <w:rPr/>
      </w:pPr>
      <w:r>
        <w:rPr>
          <w:rFonts w:ascii="Arial;sans-serif" w:hAnsi="Arial;sans-serif"/>
          <w:b/>
          <w:i/>
          <w:color w:val="000000"/>
          <w:sz w:val="20"/>
        </w:rPr>
        <w:t>Cargo and mail revenue</w:t>
      </w:r>
      <w:r>
        <w:rPr>
          <w:color w:val="000000"/>
        </w:rPr>
        <w:t xml:space="preserve"> </w:t>
      </w:r>
      <w:r>
        <w:rPr>
          <w:rFonts w:ascii="Arial;sans-serif" w:hAnsi="Arial;sans-serif"/>
          <w:b w:val="false"/>
          <w:color w:val="000000"/>
          <w:sz w:val="20"/>
        </w:rPr>
        <w:t>totaled US$34.2 million, up 20.8%, due to higher cargo volumes, which includes the full-year effect of a second freighter.</w:t>
      </w:r>
    </w:p>
    <w:p>
      <w:pPr>
        <w:pStyle w:val="TextBody"/>
        <w:bidi w:val="0"/>
        <w:spacing w:lineRule="auto" w:line="288" w:before="140" w:after="100"/>
        <w:jc w:val="both"/>
        <w:rPr/>
      </w:pPr>
      <w:r>
        <w:rPr>
          <w:rFonts w:ascii="Arial;sans-serif" w:hAnsi="Arial;sans-serif"/>
          <w:b/>
          <w:i/>
          <w:color w:val="000000"/>
          <w:sz w:val="20"/>
        </w:rPr>
        <w:t>Other operating revenue</w:t>
      </w:r>
      <w:r>
        <w:rPr>
          <w:color w:val="000000"/>
        </w:rPr>
        <w:t xml:space="preserve"> </w:t>
      </w:r>
      <w:r>
        <w:rPr>
          <w:rFonts w:ascii="Arial;sans-serif" w:hAnsi="Arial;sans-serif"/>
          <w:b w:val="false"/>
          <w:color w:val="000000"/>
          <w:sz w:val="20"/>
        </w:rPr>
        <w:t>totaled US$22.5 million, a 32.4% increase compared to 2Q25, mostly due to an increase in ConnectMiles revenues from non-air partners.</w:t>
      </w:r>
    </w:p>
    <w:p>
      <w:pPr>
        <w:pStyle w:val="TextBody"/>
        <w:bidi w:val="0"/>
        <w:spacing w:lineRule="auto" w:line="288" w:before="200" w:after="200"/>
        <w:jc w:val="left"/>
        <w:rPr>
          <w:rFonts w:ascii="Arial;sans-serif" w:hAnsi="Arial;sans-serif"/>
          <w:b/>
          <w:color w:val="000000"/>
          <w:sz w:val="28"/>
        </w:rPr>
      </w:pPr>
      <w:r>
        <w:rPr>
          <w:rFonts w:ascii="Arial;sans-serif" w:hAnsi="Arial;sans-serif"/>
          <w:b/>
          <w:color w:val="000000"/>
          <w:sz w:val="28"/>
        </w:rPr>
        <w:t>Operating expenses</w:t>
      </w:r>
    </w:p>
    <w:p>
      <w:pPr>
        <w:pStyle w:val="TextBody"/>
        <w:bidi w:val="0"/>
        <w:spacing w:lineRule="auto" w:line="288" w:before="140" w:after="100"/>
        <w:jc w:val="both"/>
        <w:rPr/>
      </w:pPr>
      <w:r>
        <w:rPr>
          <w:rFonts w:ascii="Arial;sans-serif" w:hAnsi="Arial;sans-serif"/>
          <w:b/>
          <w:i/>
          <w:color w:val="000000"/>
          <w:sz w:val="20"/>
        </w:rPr>
        <w:t>Consolidated operating costs</w:t>
      </w:r>
      <w:r>
        <w:rPr>
          <w:color w:val="000000"/>
        </w:rPr>
        <w:t xml:space="preserve"> </w:t>
      </w:r>
      <w:r>
        <w:rPr>
          <w:rFonts w:ascii="Arial;sans-serif" w:hAnsi="Arial;sans-serif"/>
          <w:b w:val="false"/>
          <w:color w:val="000000"/>
          <w:sz w:val="20"/>
        </w:rPr>
        <w:t>for 2Q26 totaled US$967.7 million, a 46.8% increase year over year, primarily due to higher fuel expenses.</w:t>
      </w:r>
    </w:p>
    <w:p>
      <w:pPr>
        <w:pStyle w:val="TextBody"/>
        <w:bidi w:val="0"/>
        <w:spacing w:lineRule="auto" w:line="288" w:before="140" w:after="100"/>
        <w:jc w:val="both"/>
        <w:rPr/>
      </w:pPr>
      <w:r>
        <w:rPr>
          <w:rFonts w:ascii="Arial;sans-serif" w:hAnsi="Arial;sans-serif"/>
          <w:b/>
          <w:i/>
          <w:color w:val="000000"/>
          <w:sz w:val="20"/>
        </w:rPr>
        <w:t>Fuel</w:t>
      </w:r>
      <w:r>
        <w:rPr>
          <w:color w:val="000000"/>
        </w:rPr>
        <w:t xml:space="preserve"> </w:t>
      </w:r>
      <w:r>
        <w:rPr>
          <w:rFonts w:ascii="Arial;sans-serif" w:hAnsi="Arial;sans-serif"/>
          <w:b w:val="false"/>
          <w:color w:val="000000"/>
          <w:sz w:val="20"/>
        </w:rPr>
        <w:t>totaled US$449.6 million, an increase of 110.0%, driven by an 84.8% higher average fuel price and a 14.2% increase in gallons consumed. Fuel represented approximately 46% of operating expenses during the quarter, compared to approximately 32% in 2Q25.</w:t>
      </w:r>
    </w:p>
    <w:p>
      <w:pPr>
        <w:pStyle w:val="TextBody"/>
        <w:bidi w:val="0"/>
        <w:spacing w:lineRule="auto" w:line="288" w:before="140" w:after="100"/>
        <w:jc w:val="both"/>
        <w:rPr/>
      </w:pPr>
      <w:r>
        <w:rPr>
          <w:rFonts w:ascii="Arial;sans-serif" w:hAnsi="Arial;sans-serif"/>
          <w:b/>
          <w:i/>
          <w:color w:val="000000"/>
          <w:sz w:val="20"/>
        </w:rPr>
        <w:t>Wages, salaries, benefits, and other employee expenses</w:t>
      </w:r>
      <w:r>
        <w:rPr>
          <w:color w:val="000000"/>
        </w:rPr>
        <w:t xml:space="preserve"> </w:t>
      </w:r>
      <w:r>
        <w:rPr>
          <w:rFonts w:ascii="Arial;sans-serif" w:hAnsi="Arial;sans-serif"/>
          <w:b w:val="false"/>
          <w:color w:val="000000"/>
          <w:sz w:val="20"/>
        </w:rPr>
        <w:t xml:space="preserve">totaled US$131.4 million, up 7.4% mostly reflecting additional operational staff to support capacity growth, partially offset by an adjustment in variable compensation. </w:t>
      </w:r>
    </w:p>
    <w:p>
      <w:pPr>
        <w:pStyle w:val="TextBody"/>
        <w:bidi w:val="0"/>
        <w:spacing w:lineRule="auto" w:line="288" w:before="140" w:after="100"/>
        <w:jc w:val="both"/>
        <w:rPr/>
      </w:pPr>
      <w:r>
        <w:rPr>
          <w:rFonts w:ascii="Arial;sans-serif" w:hAnsi="Arial;sans-serif"/>
          <w:b/>
          <w:i/>
          <w:color w:val="000000"/>
          <w:sz w:val="20"/>
        </w:rPr>
        <w:t>Passenger servicing</w:t>
      </w:r>
      <w:r>
        <w:rPr>
          <w:color w:val="000000"/>
        </w:rPr>
        <w:t xml:space="preserve"> </w:t>
      </w:r>
      <w:r>
        <w:rPr>
          <w:rFonts w:ascii="Arial;sans-serif" w:hAnsi="Arial;sans-serif"/>
          <w:b w:val="false"/>
          <w:color w:val="000000"/>
          <w:sz w:val="20"/>
        </w:rPr>
        <w:t>totaled US$29.0 million, up 15.2%, driven by a 15.1% increase in onboard passengers.</w:t>
      </w:r>
    </w:p>
    <w:p>
      <w:pPr>
        <w:pStyle w:val="TextBody"/>
        <w:bidi w:val="0"/>
        <w:spacing w:lineRule="auto" w:line="288" w:before="140" w:after="100"/>
        <w:jc w:val="both"/>
        <w:rPr/>
      </w:pPr>
      <w:r>
        <w:rPr>
          <w:rFonts w:ascii="Arial;sans-serif" w:hAnsi="Arial;sans-serif"/>
          <w:b/>
          <w:i/>
          <w:color w:val="000000"/>
          <w:sz w:val="20"/>
        </w:rPr>
        <w:t>Airport facilities and handling charges</w:t>
      </w:r>
      <w:r>
        <w:rPr>
          <w:color w:val="000000"/>
        </w:rPr>
        <w:t xml:space="preserve"> </w:t>
      </w:r>
      <w:r>
        <w:rPr>
          <w:rFonts w:ascii="Arial;sans-serif" w:hAnsi="Arial;sans-serif"/>
          <w:b w:val="false"/>
          <w:color w:val="000000"/>
          <w:sz w:val="20"/>
        </w:rPr>
        <w:t>totaled US$77.3 million, a 19.6% year-over-year increase, mainly driven by increased departures, higher fees in certain airports and the appreciation of certain Latin American currencies.</w:t>
      </w:r>
    </w:p>
    <w:p>
      <w:pPr>
        <w:pStyle w:val="TextBody"/>
        <w:bidi w:val="0"/>
        <w:spacing w:lineRule="auto" w:line="288" w:before="140" w:after="100"/>
        <w:jc w:val="both"/>
        <w:rPr/>
      </w:pPr>
      <w:r>
        <w:rPr>
          <w:rFonts w:ascii="Arial;sans-serif" w:hAnsi="Arial;sans-serif"/>
          <w:b/>
          <w:i/>
          <w:color w:val="000000"/>
          <w:sz w:val="20"/>
        </w:rPr>
        <w:t>Sales and distribution</w:t>
      </w:r>
      <w:r>
        <w:rPr>
          <w:color w:val="000000"/>
        </w:rPr>
        <w:t xml:space="preserve"> </w:t>
      </w:r>
      <w:r>
        <w:rPr>
          <w:rFonts w:ascii="Arial;sans-serif" w:hAnsi="Arial;sans-serif"/>
          <w:b w:val="false"/>
          <w:color w:val="000000"/>
          <w:sz w:val="20"/>
        </w:rPr>
        <w:t>totaled US$57.4 million, a 16.1% increase mostly due to higher sales, partially offset by a reduction in the Company’s distribution costs as a result of higher penetration of both direct sales and lower-cost NDC travel agency channels.</w:t>
      </w:r>
    </w:p>
    <w:p>
      <w:pPr>
        <w:pStyle w:val="TextBody"/>
        <w:bidi w:val="0"/>
        <w:spacing w:lineRule="auto" w:line="288" w:before="140" w:after="100"/>
        <w:jc w:val="both"/>
        <w:rPr/>
      </w:pPr>
      <w:r>
        <w:rPr>
          <w:rFonts w:ascii="Arial;sans-serif" w:hAnsi="Arial;sans-serif"/>
          <w:b/>
          <w:i/>
          <w:color w:val="000000"/>
          <w:sz w:val="20"/>
        </w:rPr>
        <w:t>Maintenance, materials, and repairs</w:t>
      </w:r>
      <w:r>
        <w:rPr>
          <w:color w:val="000000"/>
        </w:rPr>
        <w:t xml:space="preserve"> </w:t>
      </w:r>
      <w:r>
        <w:rPr>
          <w:rFonts w:ascii="Arial;sans-serif" w:hAnsi="Arial;sans-serif"/>
          <w:b w:val="false"/>
          <w:color w:val="000000"/>
          <w:sz w:val="20"/>
        </w:rPr>
        <w:t xml:space="preserve">totaled US$42.1 million, a 16.4% increase compared to 2Q25, mainly driven by a 15.7% increase in flight hours. </w:t>
      </w:r>
    </w:p>
    <w:p>
      <w:pPr>
        <w:pStyle w:val="TextBody"/>
        <w:bidi w:val="0"/>
        <w:spacing w:lineRule="auto" w:line="288" w:before="140" w:after="100"/>
        <w:jc w:val="both"/>
        <w:rPr/>
      </w:pPr>
      <w:r>
        <w:rPr>
          <w:rFonts w:ascii="Arial;sans-serif" w:hAnsi="Arial;sans-serif"/>
          <w:b/>
          <w:i/>
          <w:color w:val="000000"/>
          <w:sz w:val="20"/>
        </w:rPr>
        <w:t>Depreciation and amortization</w:t>
      </w:r>
      <w:r>
        <w:rPr>
          <w:color w:val="000000"/>
        </w:rPr>
        <w:t xml:space="preserve"> </w:t>
      </w:r>
      <w:r>
        <w:rPr>
          <w:rFonts w:ascii="Arial;sans-serif" w:hAnsi="Arial;sans-serif"/>
          <w:b w:val="false"/>
          <w:color w:val="000000"/>
          <w:sz w:val="20"/>
        </w:rPr>
        <w:t>totaled US$107.5 million, a 21.6% year-over-year increase, due to new aircraft and higher amortization of airframe and engine maintenance events.</w:t>
      </w:r>
    </w:p>
    <w:p>
      <w:pPr>
        <w:pStyle w:val="TextBody"/>
        <w:bidi w:val="0"/>
        <w:spacing w:lineRule="auto" w:line="288" w:before="140" w:after="100"/>
        <w:jc w:val="both"/>
        <w:rPr/>
      </w:pPr>
      <w:r>
        <w:rPr>
          <w:rFonts w:ascii="Arial;sans-serif" w:hAnsi="Arial;sans-serif"/>
          <w:b/>
          <w:i/>
          <w:color w:val="000000"/>
          <w:sz w:val="20"/>
        </w:rPr>
        <w:t>Flight operations</w:t>
      </w:r>
      <w:r>
        <w:rPr>
          <w:color w:val="000000"/>
        </w:rPr>
        <w:t xml:space="preserve"> </w:t>
      </w:r>
      <w:r>
        <w:rPr>
          <w:rFonts w:ascii="Arial;sans-serif" w:hAnsi="Arial;sans-serif"/>
          <w:b w:val="false"/>
          <w:color w:val="000000"/>
          <w:sz w:val="20"/>
        </w:rPr>
        <w:t>totaled US$42.8 million, a 30.7% year-over-year increase, mainly driven by a 16.0% increase in block hours, higher overflight rates in certain countries, the appreciation of certain Latin American currencies, and the year-over-year effect of the reversal of provisions in 2Q25.</w:t>
      </w:r>
    </w:p>
    <w:p>
      <w:pPr>
        <w:pStyle w:val="TextBody"/>
        <w:bidi w:val="0"/>
        <w:spacing w:lineRule="auto" w:line="288" w:before="140" w:after="100"/>
        <w:jc w:val="both"/>
        <w:rPr/>
      </w:pPr>
      <w:r>
        <w:rPr>
          <w:rFonts w:ascii="Arial;sans-serif" w:hAnsi="Arial;sans-serif"/>
          <w:b/>
          <w:i/>
          <w:color w:val="000000"/>
          <w:sz w:val="20"/>
        </w:rPr>
        <w:t>Other operating and administrative expenses</w:t>
      </w:r>
      <w:r>
        <w:rPr>
          <w:color w:val="000000"/>
        </w:rPr>
        <w:t xml:space="preserve"> </w:t>
      </w:r>
      <w:r>
        <w:rPr>
          <w:rFonts w:ascii="Arial;sans-serif" w:hAnsi="Arial;sans-serif"/>
          <w:b w:val="false"/>
          <w:color w:val="000000"/>
          <w:sz w:val="20"/>
        </w:rPr>
        <w:t>totaled US$30.6 million, a 16.2% increase compared to the same period in 2025, driven by higher capacity.</w:t>
      </w:r>
    </w:p>
    <w:p>
      <w:pPr>
        <w:pStyle w:val="TextBody"/>
        <w:bidi w:val="0"/>
        <w:spacing w:before="200" w:after="200"/>
        <w:jc w:val="left"/>
        <w:rPr/>
      </w:pPr>
      <w:r>
        <w:rPr/>
      </w:r>
    </w:p>
    <w:p>
      <w:pPr>
        <w:pStyle w:val="TextBody"/>
        <w:bidi w:val="0"/>
        <w:spacing w:before="0" w:after="0"/>
        <w:ind w:left="0" w:right="0" w:hanging="2275"/>
        <w:jc w:val="left"/>
        <w:rPr/>
      </w:pPr>
      <w:r>
        <w:rPr/>
        <w:drawing>
          <wp:inline distT="0" distB="0" distL="0" distR="0">
            <wp:extent cx="7400925" cy="1228725"/>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7400925" cy="1228725"/>
                    </a:xfrm>
                    <a:prstGeom prst="rect">
                      <a:avLst/>
                    </a:prstGeom>
                  </pic:spPr>
                </pic:pic>
              </a:graphicData>
            </a:graphic>
          </wp:inline>
        </w:drawing>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01040"/>
                <wp:effectExtent l="0" t="0" r="0" b="0"/>
                <wp:wrapNone/>
                <wp:docPr id="15" name="Frame8"/>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40" w:before="0" w:after="0"/>
                              <w:jc w:val="right"/>
                              <w:rPr>
                                <w:color w:val="000000"/>
                              </w:rPr>
                            </w:pPr>
                            <w:r>
                              <w:rPr>
                                <w:color w:val="000000"/>
                              </w:rPr>
                              <w:t>    </w:t>
                            </w:r>
                            <w:r>
                              <w:rPr>
                                <w:rFonts w:ascii="Arial;sans-serif" w:hAnsi="Arial;sans-serif"/>
                                <w:b w:val="false"/>
                                <w:color w:val="000000"/>
                                <w:sz w:val="18"/>
                              </w:rPr>
                              <w:t>6</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57.05pt;mso-position-horizontal:left;mso-position-horizontal-relative:text">
                <v:textbox>
                  <w:txbxContent>
                    <w:p>
                      <w:pPr>
                        <w:pStyle w:val="TextBody"/>
                        <w:bidi w:val="0"/>
                        <w:spacing w:before="0" w:after="0"/>
                        <w:jc w:val="right"/>
                        <w:rPr/>
                      </w:pPr>
                      <w:r>
                        <w:rPr/>
                      </w:r>
                    </w:p>
                    <w:p>
                      <w:pPr>
                        <w:pStyle w:val="TextBody"/>
                        <w:bidi w:val="0"/>
                        <w:spacing w:lineRule="auto" w:line="240" w:before="0" w:after="0"/>
                        <w:jc w:val="right"/>
                        <w:rPr>
                          <w:color w:val="000000"/>
                        </w:rPr>
                      </w:pPr>
                      <w:r>
                        <w:rPr>
                          <w:color w:val="000000"/>
                        </w:rPr>
                        <w:t>    </w:t>
                      </w:r>
                      <w:r>
                        <w:rPr>
                          <w:rFonts w:ascii="Arial;sans-serif" w:hAnsi="Arial;sans-serif"/>
                          <w:b w:val="false"/>
                          <w:color w:val="000000"/>
                          <w:sz w:val="18"/>
                        </w:rPr>
                        <w:t>6</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left"/>
        <w:rPr>
          <w:rFonts w:ascii="Arial;sans-serif" w:hAnsi="Arial;sans-serif"/>
          <w:b/>
          <w:color w:val="000000"/>
          <w:sz w:val="28"/>
        </w:rPr>
      </w:pPr>
      <w:r>
        <w:rPr>
          <w:rFonts w:ascii="Arial;sans-serif" w:hAnsi="Arial;sans-serif"/>
          <w:b/>
          <w:color w:val="000000"/>
          <w:sz w:val="28"/>
        </w:rPr>
        <w:t xml:space="preserve">Non-operating Income (Expense) </w:t>
      </w:r>
    </w:p>
    <w:p>
      <w:pPr>
        <w:pStyle w:val="TextBody"/>
        <w:bidi w:val="0"/>
        <w:spacing w:lineRule="auto" w:line="288" w:before="140" w:after="100"/>
        <w:jc w:val="both"/>
        <w:rPr/>
      </w:pPr>
      <w:r>
        <w:rPr>
          <w:rFonts w:ascii="Arial;sans-serif" w:hAnsi="Arial;sans-serif"/>
          <w:b/>
          <w:i/>
          <w:color w:val="000000"/>
          <w:sz w:val="20"/>
        </w:rPr>
        <w:t>Consolidated non-operating income (expense)</w:t>
      </w:r>
      <w:r>
        <w:rPr>
          <w:color w:val="000000"/>
        </w:rPr>
        <w:t xml:space="preserve"> </w:t>
      </w:r>
      <w:r>
        <w:rPr>
          <w:rFonts w:ascii="Arial;sans-serif" w:hAnsi="Arial;sans-serif"/>
          <w:b w:val="false"/>
          <w:color w:val="000000"/>
          <w:sz w:val="20"/>
        </w:rPr>
        <w:t>totaled US$(14.4) million in 2Q26.</w:t>
      </w:r>
    </w:p>
    <w:p>
      <w:pPr>
        <w:pStyle w:val="TextBody"/>
        <w:bidi w:val="0"/>
        <w:spacing w:lineRule="auto" w:line="288" w:before="140" w:after="100"/>
        <w:jc w:val="both"/>
        <w:rPr/>
      </w:pPr>
      <w:r>
        <w:rPr>
          <w:rFonts w:ascii="Arial;sans-serif" w:hAnsi="Arial;sans-serif"/>
          <w:b/>
          <w:i/>
          <w:color w:val="000000"/>
          <w:sz w:val="20"/>
        </w:rPr>
        <w:t>Finance cost</w:t>
      </w:r>
      <w:r>
        <w:rPr>
          <w:color w:val="000000"/>
        </w:rPr>
        <w:t xml:space="preserve"> </w:t>
      </w:r>
      <w:r>
        <w:rPr>
          <w:rFonts w:ascii="Arial;sans-serif" w:hAnsi="Arial;sans-serif"/>
          <w:b w:val="false"/>
          <w:color w:val="000000"/>
          <w:sz w:val="20"/>
        </w:rPr>
        <w:t>totaled US$(28.2) million, comprised of US$20.5 million related to loan interest expenses, US$4.2 million in interest charges related to operating leases, and US$3.5 million related to the discount rate utilized for the calculation of leased aircraft charges.</w:t>
      </w:r>
    </w:p>
    <w:p>
      <w:pPr>
        <w:pStyle w:val="TextBody"/>
        <w:bidi w:val="0"/>
        <w:spacing w:lineRule="auto" w:line="288" w:before="140" w:after="100"/>
        <w:jc w:val="both"/>
        <w:rPr/>
      </w:pPr>
      <w:r>
        <w:rPr>
          <w:rFonts w:ascii="Arial;sans-serif" w:hAnsi="Arial;sans-serif"/>
          <w:b/>
          <w:i/>
          <w:color w:val="000000"/>
          <w:sz w:val="20"/>
        </w:rPr>
        <w:t>Finance income</w:t>
      </w:r>
      <w:r>
        <w:rPr>
          <w:color w:val="000000"/>
        </w:rPr>
        <w:t xml:space="preserve"> </w:t>
      </w:r>
      <w:r>
        <w:rPr>
          <w:rFonts w:ascii="Arial;sans-serif" w:hAnsi="Arial;sans-serif"/>
          <w:b w:val="false"/>
          <w:color w:val="000000"/>
          <w:sz w:val="20"/>
        </w:rPr>
        <w:t>totaled US$16.5 million, related to proceeds from investments.</w:t>
      </w:r>
    </w:p>
    <w:p>
      <w:pPr>
        <w:pStyle w:val="TextBody"/>
        <w:bidi w:val="0"/>
        <w:spacing w:lineRule="auto" w:line="288" w:before="140" w:after="100"/>
        <w:jc w:val="both"/>
        <w:rPr/>
      </w:pPr>
      <w:r>
        <w:rPr>
          <w:rFonts w:ascii="Arial;sans-serif" w:hAnsi="Arial;sans-serif"/>
          <w:b/>
          <w:i/>
          <w:color w:val="000000"/>
          <w:sz w:val="20"/>
        </w:rPr>
        <w:t>Gain (loss) on foreign currency fluctuations</w:t>
      </w:r>
      <w:r>
        <w:rPr>
          <w:color w:val="000000"/>
        </w:rPr>
        <w:t xml:space="preserve"> </w:t>
      </w:r>
      <w:r>
        <w:rPr>
          <w:rFonts w:ascii="Arial;sans-serif" w:hAnsi="Arial;sans-serif"/>
          <w:b w:val="false"/>
          <w:color w:val="000000"/>
          <w:sz w:val="20"/>
        </w:rPr>
        <w:t>totaled US$(0.9) million, driven by the devaluation of certain currencies, partially offset by the appreciation of the Brazilian real and the Colombian peso during the quarter.</w:t>
      </w:r>
    </w:p>
    <w:p>
      <w:pPr>
        <w:pStyle w:val="TextBody"/>
        <w:bidi w:val="0"/>
        <w:spacing w:lineRule="auto" w:line="288" w:before="140" w:after="100"/>
        <w:jc w:val="both"/>
        <w:rPr/>
      </w:pPr>
      <w:r>
        <w:rPr>
          <w:rFonts w:ascii="Arial;sans-serif" w:hAnsi="Arial;sans-serif"/>
          <w:b/>
          <w:i/>
          <w:color w:val="000000"/>
          <w:sz w:val="20"/>
        </w:rPr>
        <w:t>Net change in fair value of derivatives</w:t>
      </w:r>
      <w:r>
        <w:rPr>
          <w:color w:val="000000"/>
        </w:rPr>
        <w:t xml:space="preserve"> </w:t>
      </w:r>
      <w:r>
        <w:rPr>
          <w:rFonts w:ascii="Arial;sans-serif" w:hAnsi="Arial;sans-serif"/>
          <w:b w:val="false"/>
          <w:color w:val="000000"/>
          <w:sz w:val="20"/>
        </w:rPr>
        <w:t>totaled US$(1.0) million, due to mark-to-market losses on hedge positions related to the Brazilian real.</w:t>
      </w:r>
    </w:p>
    <w:p>
      <w:pPr>
        <w:pStyle w:val="TextBody"/>
        <w:bidi w:val="0"/>
        <w:spacing w:lineRule="auto" w:line="288" w:before="140" w:after="100"/>
        <w:jc w:val="both"/>
        <w:rPr/>
      </w:pPr>
      <w:r>
        <w:rPr>
          <w:rFonts w:ascii="Arial;sans-serif" w:hAnsi="Arial;sans-serif"/>
          <w:b/>
          <w:i/>
          <w:color w:val="000000"/>
          <w:sz w:val="20"/>
        </w:rPr>
        <w:t>Other non-operating income (expense)</w:t>
      </w:r>
      <w:r>
        <w:rPr>
          <w:color w:val="000000"/>
        </w:rPr>
        <w:t xml:space="preserve"> </w:t>
      </w:r>
      <w:r>
        <w:rPr>
          <w:rFonts w:ascii="Arial;sans-serif" w:hAnsi="Arial;sans-serif"/>
          <w:b w:val="false"/>
          <w:color w:val="000000"/>
          <w:sz w:val="20"/>
        </w:rPr>
        <w:t>totaled US$(0.8) million in 2Q26.</w:t>
      </w:r>
    </w:p>
    <w:p>
      <w:pPr>
        <w:pStyle w:val="TextBody"/>
        <w:bidi w:val="0"/>
        <w:spacing w:before="20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275"/>
        <w:jc w:val="left"/>
        <w:rPr/>
      </w:pPr>
      <w:r>
        <w:rPr/>
        <w:drawing>
          <wp:inline distT="0" distB="0" distL="0" distR="0">
            <wp:extent cx="7400925" cy="1228725"/>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7400925" cy="1228725"/>
                    </a:xfrm>
                    <a:prstGeom prst="rect">
                      <a:avLst/>
                    </a:prstGeom>
                  </pic:spPr>
                </pic:pic>
              </a:graphicData>
            </a:graphic>
          </wp:inline>
        </w:drawing>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01040"/>
                <wp:effectExtent l="0" t="0" r="0" b="0"/>
                <wp:wrapNone/>
                <wp:docPr id="17" name="Frame9"/>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40" w:before="0" w:after="0"/>
                              <w:jc w:val="right"/>
                              <w:rPr>
                                <w:color w:val="000000"/>
                              </w:rPr>
                            </w:pPr>
                            <w:r>
                              <w:rPr>
                                <w:color w:val="000000"/>
                              </w:rPr>
                              <w:t>    </w:t>
                            </w:r>
                            <w:r>
                              <w:rPr>
                                <w:rFonts w:ascii="Arial;sans-serif" w:hAnsi="Arial;sans-serif"/>
                                <w:b w:val="false"/>
                                <w:color w:val="000000"/>
                                <w:sz w:val="18"/>
                              </w:rPr>
                              <w:t>7</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57.05pt;mso-position-horizontal:left;mso-position-horizontal-relative:text">
                <v:textbox>
                  <w:txbxContent>
                    <w:p>
                      <w:pPr>
                        <w:pStyle w:val="TextBody"/>
                        <w:bidi w:val="0"/>
                        <w:spacing w:before="0" w:after="0"/>
                        <w:jc w:val="right"/>
                        <w:rPr/>
                      </w:pPr>
                      <w:r>
                        <w:rPr/>
                      </w:r>
                    </w:p>
                    <w:p>
                      <w:pPr>
                        <w:pStyle w:val="TextBody"/>
                        <w:bidi w:val="0"/>
                        <w:spacing w:lineRule="auto" w:line="240" w:before="0" w:after="0"/>
                        <w:jc w:val="right"/>
                        <w:rPr>
                          <w:color w:val="000000"/>
                        </w:rPr>
                      </w:pPr>
                      <w:r>
                        <w:rPr>
                          <w:color w:val="000000"/>
                        </w:rPr>
                        <w:t>    </w:t>
                      </w:r>
                      <w:r>
                        <w:rPr>
                          <w:rFonts w:ascii="Arial;sans-serif" w:hAnsi="Arial;sans-serif"/>
                          <w:b w:val="false"/>
                          <w:color w:val="000000"/>
                          <w:sz w:val="18"/>
                        </w:rPr>
                        <w:t>7</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Copa Holdings, S. A. and Subsidiaries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Consolidated statement of financial position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 US$ thousands)</w:t>
      </w:r>
    </w:p>
    <w:tbl>
      <w:tblPr>
        <w:tblW w:w="7977" w:type="dxa"/>
        <w:jc w:val="left"/>
        <w:tblInd w:w="0" w:type="dxa"/>
        <w:tblLayout w:type="fixed"/>
        <w:tblCellMar>
          <w:top w:w="28" w:type="dxa"/>
          <w:left w:w="28" w:type="dxa"/>
          <w:bottom w:w="28" w:type="dxa"/>
          <w:right w:w="28" w:type="dxa"/>
        </w:tblCellMar>
      </w:tblPr>
      <w:tblGrid>
        <w:gridCol w:w="1670"/>
        <w:gridCol w:w="1470"/>
        <w:gridCol w:w="1479"/>
        <w:gridCol w:w="109"/>
        <w:gridCol w:w="109"/>
        <w:gridCol w:w="109"/>
        <w:gridCol w:w="443"/>
        <w:gridCol w:w="443"/>
        <w:gridCol w:w="373"/>
        <w:gridCol w:w="109"/>
        <w:gridCol w:w="109"/>
        <w:gridCol w:w="109"/>
        <w:gridCol w:w="475"/>
        <w:gridCol w:w="411"/>
        <w:gridCol w:w="559"/>
      </w:tblGrid>
      <w:tr>
        <w:trPr/>
        <w:tc>
          <w:tcPr>
            <w:tcW w:w="167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2025</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6"/>
                <w:shd w:fill="FFFFFF" w:val="clear"/>
              </w:rPr>
              <w:t>(Unaudited)</w:t>
            </w:r>
            <w:r>
              <w:rPr>
                <w:color w:val="000000"/>
                <w:shd w:fill="FFFFFF" w:val="clear"/>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6"/>
                <w:shd w:fill="FFFFFF" w:val="clear"/>
              </w:rPr>
              <w:t>(Audited)</w:t>
            </w:r>
            <w:r>
              <w:rPr>
                <w:color w:val="000000"/>
                <w:shd w:fill="FFFFFF" w:val="clear"/>
              </w:rPr>
              <w:t xml:space="preserve"> </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266,825 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382,554 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996,411 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955,604 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Total cash, cash equivalents and short-term investments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1,263,236</w:t>
            </w:r>
            <w:r>
              <w:rPr>
                <w:color w:val="000000"/>
              </w:rPr>
              <w:t>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1,338,159</w:t>
            </w:r>
            <w:r>
              <w:rPr>
                <w:color w:val="000000"/>
              </w:rPr>
              <w:t> </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217,862 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194,425 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Accounts receivable from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3,495 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3,217 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Expendable parts and supplies,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155,225 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148,127 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84,268 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55,209 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Prepaid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7,530 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6,172 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30,615 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32,769 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498,994</w:t>
            </w:r>
            <w:r>
              <w:rPr>
                <w:color w:val="000000"/>
              </w:rPr>
              <w:t>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439,919</w:t>
            </w:r>
            <w:r>
              <w:rPr>
                <w:color w:val="000000"/>
              </w:rPr>
              <w:t> </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TOTAL CURRENT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1,762,231</w:t>
            </w:r>
            <w:r>
              <w:rPr>
                <w:color w:val="000000"/>
              </w:rPr>
              <w:t>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1,778,078</w:t>
            </w:r>
            <w:r>
              <w:rPr>
                <w:color w:val="000000"/>
              </w:rPr>
              <w:t> </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280,188 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248,579 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Long-term 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5,748 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5,434 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4,687,049 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4,120,055 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263,880 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296,761 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Intangible,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104,418 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104,071 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defined benefit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3,806 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3,220 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21,074 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19,873 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9,101 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6,952 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TOTAL NON-CURRENT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5,375,264</w:t>
            </w:r>
            <w:r>
              <w:rPr>
                <w:color w:val="000000"/>
              </w:rPr>
              <w:t>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4,804,946</w:t>
            </w:r>
            <w:r>
              <w:rPr>
                <w:color w:val="000000"/>
              </w:rPr>
              <w:t> </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7,137,495</w:t>
            </w:r>
            <w:r>
              <w:rPr>
                <w:color w:val="000000"/>
              </w:rPr>
              <w:t>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6,583,024</w:t>
            </w:r>
            <w:r>
              <w:rPr>
                <w:color w:val="000000"/>
              </w:rPr>
              <w:t> </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Loans and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202,245 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172,885 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Current portion of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68,349 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66,132 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207,122 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164,320 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Accounts payable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1,279 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1,333 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Air traffic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875,027 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737,616 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Frequent flyer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167,970 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155,584 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80,132 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62,931 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Accrued expenses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46,298 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66,016 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Income tax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5,340 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11,929 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3,067 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1,361 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TOTAL CURRENT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1,656,829</w:t>
            </w:r>
            <w:r>
              <w:rPr>
                <w:color w:val="000000"/>
              </w:rPr>
              <w:t>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1,440,107</w:t>
            </w:r>
            <w:r>
              <w:rPr>
                <w:color w:val="000000"/>
              </w:rPr>
              <w:t> </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Loans and borrowings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2,069,350 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1,807,556 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224,871 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258,383 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58,279 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59,217 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Other long - 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255,189 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242,337 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TOTAL NON-CURRENT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2,607,689</w:t>
            </w:r>
            <w:r>
              <w:rPr>
                <w:color w:val="000000"/>
              </w:rPr>
              <w:t>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2,367,494</w:t>
            </w:r>
            <w:r>
              <w:rPr>
                <w:color w:val="000000"/>
              </w:rPr>
              <w:t> </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4,264,518</w:t>
            </w:r>
            <w:r>
              <w:rPr>
                <w:color w:val="000000"/>
              </w:rPr>
              <w:t>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3,807,600</w:t>
            </w:r>
            <w:r>
              <w:rPr>
                <w:color w:val="000000"/>
              </w:rPr>
              <w:t> </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6"/>
              </w:rPr>
            </w:pPr>
            <w:r>
              <w:rPr>
                <w:rFonts w:ascii="Arial;sans-serif" w:hAnsi="Arial;sans-serif"/>
                <w:b w:val="false"/>
                <w:color w:val="000000"/>
                <w:sz w:val="16"/>
              </w:rPr>
              <w:t>Class A - 34,288,050 issued and 29,881,298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23,329 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23,290 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Class B - 10,938,125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7,466 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7,466 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222,940 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220,190 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(345,147)</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(300,143)</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2,699,685 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2,168,911 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280,642 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671,648 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(15,939)</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(15,939)</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TOTAL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2,872,977</w:t>
            </w:r>
            <w:r>
              <w:rPr>
                <w:color w:val="000000"/>
              </w:rPr>
              <w:t>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2,775,423</w:t>
            </w:r>
            <w:r>
              <w:rPr>
                <w:color w:val="000000"/>
              </w:rPr>
              <w:t> </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TOTAL EQUITY LIABILITIES</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7,137,495</w:t>
            </w:r>
            <w:r>
              <w:rPr>
                <w:color w:val="000000"/>
              </w:rPr>
              <w:t> </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6,583,024</w:t>
            </w:r>
            <w:r>
              <w:rPr>
                <w:color w:val="000000"/>
              </w:rPr>
              <w:t> </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275"/>
        <w:jc w:val="left"/>
        <w:rPr/>
      </w:pPr>
      <w:r>
        <w:rPr/>
        <w:drawing>
          <wp:inline distT="0" distB="0" distL="0" distR="0">
            <wp:extent cx="7400925" cy="1228725"/>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7400925" cy="1228725"/>
                    </a:xfrm>
                    <a:prstGeom prst="rect">
                      <a:avLst/>
                    </a:prstGeom>
                  </pic:spPr>
                </pic:pic>
              </a:graphicData>
            </a:graphic>
          </wp:inline>
        </w:drawing>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01040"/>
                <wp:effectExtent l="0" t="0" r="0" b="0"/>
                <wp:wrapNone/>
                <wp:docPr id="19" name="Frame1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40" w:before="0" w:after="0"/>
                              <w:jc w:val="right"/>
                              <w:rPr>
                                <w:color w:val="000000"/>
                              </w:rPr>
                            </w:pPr>
                            <w:r>
                              <w:rPr>
                                <w:color w:val="000000"/>
                              </w:rPr>
                              <w:t>    </w:t>
                            </w:r>
                            <w:r>
                              <w:rPr>
                                <w:rFonts w:ascii="Arial;sans-serif" w:hAnsi="Arial;sans-serif"/>
                                <w:b w:val="false"/>
                                <w:color w:val="000000"/>
                                <w:sz w:val="18"/>
                              </w:rPr>
                              <w:t>8</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57.05pt;mso-position-horizontal:left;mso-position-horizontal-relative:text">
                <v:textbox>
                  <w:txbxContent>
                    <w:p>
                      <w:pPr>
                        <w:pStyle w:val="TextBody"/>
                        <w:bidi w:val="0"/>
                        <w:spacing w:before="0" w:after="0"/>
                        <w:jc w:val="right"/>
                        <w:rPr/>
                      </w:pPr>
                      <w:r>
                        <w:rPr/>
                      </w:r>
                    </w:p>
                    <w:p>
                      <w:pPr>
                        <w:pStyle w:val="TextBody"/>
                        <w:bidi w:val="0"/>
                        <w:spacing w:lineRule="auto" w:line="240" w:before="0" w:after="0"/>
                        <w:jc w:val="right"/>
                        <w:rPr>
                          <w:color w:val="000000"/>
                        </w:rPr>
                      </w:pPr>
                      <w:r>
                        <w:rPr>
                          <w:color w:val="000000"/>
                        </w:rPr>
                        <w:t>    </w:t>
                      </w:r>
                      <w:r>
                        <w:rPr>
                          <w:rFonts w:ascii="Arial;sans-serif" w:hAnsi="Arial;sans-serif"/>
                          <w:b w:val="false"/>
                          <w:color w:val="000000"/>
                          <w:sz w:val="18"/>
                        </w:rPr>
                        <w:t>8</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Copa Holdings, S. A. and Subsidiaries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Consolidated statement of cash flows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 the six months ended</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(In US$ thousands) </w:t>
      </w:r>
    </w:p>
    <w:tbl>
      <w:tblPr>
        <w:tblW w:w="8600" w:type="dxa"/>
        <w:jc w:val="left"/>
        <w:tblInd w:w="0" w:type="dxa"/>
        <w:tblLayout w:type="fixed"/>
        <w:tblCellMar>
          <w:top w:w="28" w:type="dxa"/>
          <w:left w:w="28" w:type="dxa"/>
          <w:bottom w:w="28" w:type="dxa"/>
          <w:right w:w="28" w:type="dxa"/>
        </w:tblCellMar>
      </w:tblPr>
      <w:tblGrid>
        <w:gridCol w:w="2000"/>
        <w:gridCol w:w="1756"/>
        <w:gridCol w:w="1763"/>
        <w:gridCol w:w="196"/>
        <w:gridCol w:w="886"/>
        <w:gridCol w:w="109"/>
        <w:gridCol w:w="109"/>
        <w:gridCol w:w="109"/>
        <w:gridCol w:w="109"/>
        <w:gridCol w:w="196"/>
        <w:gridCol w:w="886"/>
        <w:gridCol w:w="109"/>
        <w:gridCol w:w="109"/>
        <w:gridCol w:w="109"/>
        <w:gridCol w:w="154"/>
      </w:tblGrid>
      <w:tr>
        <w:trPr/>
        <w:tc>
          <w:tcPr>
            <w:tcW w:w="2000"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6"/>
                <w:shd w:fill="FFFFFF" w:val="clear"/>
              </w:rPr>
              <w:t>(Unaudited)</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6"/>
                <w:shd w:fill="FFFFFF" w:val="clear"/>
              </w:rPr>
              <w:t>(Unaudited)</w:t>
            </w:r>
            <w:r>
              <w:rPr>
                <w:color w:val="000000"/>
                <w:shd w:fill="FFFFFF" w:val="clear"/>
              </w:rPr>
              <w:t xml:space="preserve">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Net cash flow from operating activities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617,897 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484,282 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Investing activities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Acquisition of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(71,640)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(294,697)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cash flow related to advance payments on aircraft purchase contracts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(340,399)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(60,204)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Acquisition of property and equipment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(375,769)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(390,502)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Proceeds from sale of property and equipment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26,448 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Acquisition of intangible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Net cash flow used in investing activities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(799,513)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(733,297)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Financing activities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Proceeds from new borrowings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377,005 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Payments on loans and borrowings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(93,082)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(122,890)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Payment of lease liability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(32,371)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(28,504)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Share repurchase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(45,004)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Dividends paid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(140,661)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(133,027)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Net cash flow from/(used in) financing activities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65,887 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(128,127)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Net (decrease) in cash and cash equivalents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(115,729)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(377,142)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Cash and cash equivalents as of January 1</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382,554 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613,313 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16"/>
              </w:rPr>
            </w:pPr>
            <w:r>
              <w:rPr>
                <w:rFonts w:ascii="Arial;sans-serif" w:hAnsi="Arial;sans-serif"/>
                <w:b/>
                <w:color w:val="000000"/>
                <w:sz w:val="16"/>
              </w:rPr>
              <w:t>Cash and cash equivalents as of June 30,</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266,825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236,171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996,411 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764,137 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Long-term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280,188 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368,332 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0000"/>
                <w:sz w:val="16"/>
              </w:rPr>
            </w:pPr>
            <w:r>
              <w:rPr>
                <w:rFonts w:ascii="Arial;sans-serif" w:hAnsi="Arial;sans-serif"/>
                <w:b/>
                <w:color w:val="000000"/>
                <w:sz w:val="16"/>
              </w:rPr>
              <w:t>Total cash and cash equivalents and investments as of June 30,</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1,543,424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1,368,640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99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275"/>
        <w:jc w:val="left"/>
        <w:rPr/>
      </w:pPr>
      <w:r>
        <w:rPr/>
        <w:drawing>
          <wp:inline distT="0" distB="0" distL="0" distR="0">
            <wp:extent cx="7400925" cy="1228725"/>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1"/>
                    <a:stretch>
                      <a:fillRect/>
                    </a:stretch>
                  </pic:blipFill>
                  <pic:spPr bwMode="auto">
                    <a:xfrm>
                      <a:off x="0" y="0"/>
                      <a:ext cx="7400925" cy="1228725"/>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01040"/>
                <wp:effectExtent l="0" t="0" r="0" b="0"/>
                <wp:wrapNone/>
                <wp:docPr id="21" name="Frame11"/>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40" w:before="0" w:after="0"/>
                              <w:jc w:val="right"/>
                              <w:rPr>
                                <w:color w:val="000000"/>
                              </w:rPr>
                            </w:pPr>
                            <w:r>
                              <w:rPr>
                                <w:color w:val="000000"/>
                              </w:rPr>
                              <w:t>    </w:t>
                            </w:r>
                            <w:r>
                              <w:rPr>
                                <w:rFonts w:ascii="Arial;sans-serif" w:hAnsi="Arial;sans-serif"/>
                                <w:b w:val="false"/>
                                <w:color w:val="000000"/>
                                <w:sz w:val="18"/>
                              </w:rPr>
                              <w:t>7</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57.05pt;mso-position-horizontal:left;mso-position-horizontal-relative:text">
                <v:textbox>
                  <w:txbxContent>
                    <w:p>
                      <w:pPr>
                        <w:pStyle w:val="TextBody"/>
                        <w:bidi w:val="0"/>
                        <w:spacing w:before="0" w:after="0"/>
                        <w:jc w:val="right"/>
                        <w:rPr/>
                      </w:pPr>
                      <w:r>
                        <w:rPr/>
                      </w:r>
                    </w:p>
                    <w:p>
                      <w:pPr>
                        <w:pStyle w:val="TextBody"/>
                        <w:bidi w:val="0"/>
                        <w:spacing w:lineRule="auto" w:line="240" w:before="0" w:after="0"/>
                        <w:jc w:val="right"/>
                        <w:rPr>
                          <w:color w:val="000000"/>
                        </w:rPr>
                      </w:pPr>
                      <w:r>
                        <w:rPr>
                          <w:color w:val="000000"/>
                        </w:rPr>
                        <w:t>    </w:t>
                      </w:r>
                      <w:r>
                        <w:rPr>
                          <w:rFonts w:ascii="Arial;sans-serif" w:hAnsi="Arial;sans-serif"/>
                          <w:b w:val="false"/>
                          <w:color w:val="000000"/>
                          <w:sz w:val="18"/>
                        </w:rPr>
                        <w:t>7</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Copa Holdings, S. A.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Non-IFRS Financial Measures Reconciliation</w:t>
      </w:r>
    </w:p>
    <w:p>
      <w:pPr>
        <w:pStyle w:val="TextBody"/>
        <w:bidi w:val="0"/>
        <w:spacing w:lineRule="auto" w:line="288" w:before="140" w:after="100"/>
        <w:jc w:val="both"/>
        <w:rPr>
          <w:rFonts w:ascii="Arial;sans-serif" w:hAnsi="Arial;sans-serif"/>
          <w:b w:val="false"/>
          <w:i/>
          <w:color w:val="000000"/>
          <w:sz w:val="20"/>
        </w:rPr>
      </w:pPr>
      <w:r>
        <w:rPr>
          <w:rFonts w:ascii="Arial;sans-serif" w:hAnsi="Arial;sans-serif"/>
          <w:b w:val="false"/>
          <w:i/>
          <w:color w:val="000000"/>
          <w:sz w:val="20"/>
        </w:rPr>
        <w:t>This press release includes the following non-IFRS financial measures: Operating CASM Excluding Fuel and Net Debt to EBITDA. This supplemental information is presented because we believe it is a useful indicator of our operating performance and is useful in comparing our performance with other companies in the airline industry. These measures should not be considered in isolation and should be considered together with comparable IFRS measures, in particular operating profit, and net profit. The following is a reconciliation of these non-IFRS financial measures to the comparable IFRS measures:</w:t>
      </w:r>
    </w:p>
    <w:tbl>
      <w:tblPr>
        <w:tblW w:w="8835" w:type="dxa"/>
        <w:jc w:val="left"/>
        <w:tblInd w:w="0" w:type="dxa"/>
        <w:tblLayout w:type="fixed"/>
        <w:tblCellMar>
          <w:top w:w="28" w:type="dxa"/>
          <w:left w:w="28" w:type="dxa"/>
          <w:bottom w:w="28" w:type="dxa"/>
          <w:right w:w="28" w:type="dxa"/>
        </w:tblCellMar>
      </w:tblPr>
      <w:tblGrid>
        <w:gridCol w:w="1625"/>
        <w:gridCol w:w="1426"/>
        <w:gridCol w:w="1433"/>
        <w:gridCol w:w="233"/>
        <w:gridCol w:w="233"/>
        <w:gridCol w:w="171"/>
        <w:gridCol w:w="109"/>
        <w:gridCol w:w="109"/>
        <w:gridCol w:w="109"/>
        <w:gridCol w:w="195"/>
        <w:gridCol w:w="196"/>
        <w:gridCol w:w="171"/>
        <w:gridCol w:w="109"/>
        <w:gridCol w:w="109"/>
        <w:gridCol w:w="109"/>
        <w:gridCol w:w="195"/>
        <w:gridCol w:w="196"/>
        <w:gridCol w:w="171"/>
        <w:gridCol w:w="109"/>
        <w:gridCol w:w="109"/>
        <w:gridCol w:w="109"/>
        <w:gridCol w:w="205"/>
        <w:gridCol w:w="205"/>
        <w:gridCol w:w="206"/>
        <w:gridCol w:w="109"/>
        <w:gridCol w:w="109"/>
        <w:gridCol w:w="109"/>
        <w:gridCol w:w="195"/>
        <w:gridCol w:w="196"/>
        <w:gridCol w:w="275"/>
      </w:tblGrid>
      <w:tr>
        <w:trPr/>
        <w:tc>
          <w:tcPr>
            <w:tcW w:w="162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Reconciliation of Operating Costs per ASM</w:t>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Excluding Fuel (CASM Excl. Fuel)</w:t>
            </w:r>
          </w:p>
        </w:tc>
        <w:tc>
          <w:tcPr>
            <w:tcW w:w="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1Q26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YTD25</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Operating Costs per ASM as Reported (in US$ Cents)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Aircraft Fuel Cost per ASM (in US$ Cents)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Operating Costs per ASM excluding fuel (in US$ Cents)</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5.7</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5.7</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5.8</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5.7</w:t>
            </w:r>
            <w:r>
              <w:rPr>
                <w:color w:val="000000"/>
              </w:rPr>
              <w:t>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5.7</w:t>
            </w:r>
            <w:r>
              <w:rPr>
                <w:color w:val="000000"/>
              </w:rPr>
              <w:t>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337" w:type="dxa"/>
        <w:jc w:val="left"/>
        <w:tblInd w:w="0" w:type="dxa"/>
        <w:tblLayout w:type="fixed"/>
        <w:tblCellMar>
          <w:top w:w="28" w:type="dxa"/>
          <w:left w:w="28" w:type="dxa"/>
          <w:bottom w:w="28" w:type="dxa"/>
          <w:right w:w="28" w:type="dxa"/>
        </w:tblCellMar>
      </w:tblPr>
      <w:tblGrid>
        <w:gridCol w:w="1489"/>
        <w:gridCol w:w="1308"/>
        <w:gridCol w:w="1313"/>
        <w:gridCol w:w="196"/>
        <w:gridCol w:w="871"/>
        <w:gridCol w:w="109"/>
        <w:gridCol w:w="109"/>
        <w:gridCol w:w="109"/>
        <w:gridCol w:w="109"/>
        <w:gridCol w:w="196"/>
        <w:gridCol w:w="871"/>
        <w:gridCol w:w="109"/>
        <w:gridCol w:w="109"/>
        <w:gridCol w:w="109"/>
        <w:gridCol w:w="109"/>
        <w:gridCol w:w="196"/>
        <w:gridCol w:w="871"/>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Reconciliation of Net Debt to EBITDA</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1Q26</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Debt</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1,021,390 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682,680 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893,509 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LTM Operating Profit/(Loss) (in US$ thousands)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772,187 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774,526 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863,774 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LTM Depreciation and amortization (in US$ thousands)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398,678 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342,606 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379,579 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LTM EBITDA (in US$ thousands)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1,170,865 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1,117,132 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1,243,353 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Debt to EBITDA</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0.7</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3343</Words>
  <Characters>18768</Characters>
  <CharactersWithSpaces>21656</CharactersWithSpaces>
  <Paragraphs>997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