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May 2026</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119"/>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Copa Holdings Announces Monthly Traffic Statistics for April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5/12/26</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Donkersloot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Peter Donkersloot</w:t>
      </w:r>
    </w:p>
    <w:p>
      <w:pPr>
        <w:ind w:left="6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359"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Copa Holdings Announces Monthly Traffic Statistics for April 2026</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PANAMA CITY, May 12, 2026 (GLOBE NEWSWIRE) -- Copa Holdings, S.A. (NYSE: CPA) today released preliminary passenger traffic statistics for April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Copa Holdings (Consolidated)</w:t>
            </w:r>
          </w:p>
        </w:tc>
        <w:tc>
          <w:tcPr>
            <w:tcW w:w="1920" w:type="dxa"/>
            <w:vAlign w:val="bottom"/>
          </w:tcPr>
          <w:p>
            <w:pPr>
              <w:jc w:val="right"/>
              <w:ind w:right="870"/>
              <w:spacing w:after="0"/>
              <w:rPr>
                <w:sz w:val="20"/>
                <w:szCs w:val="20"/>
                <w:color w:val="auto"/>
              </w:rPr>
            </w:pPr>
            <w:r>
              <w:rPr>
                <w:rFonts w:ascii="Arial" w:cs="Arial" w:eastAsia="Arial" w:hAnsi="Arial"/>
                <w:sz w:val="18"/>
                <w:szCs w:val="18"/>
                <w:b w:val="1"/>
                <w:bCs w:val="1"/>
                <w:color w:val="auto"/>
              </w:rPr>
              <w:t>April</w:t>
            </w:r>
          </w:p>
        </w:tc>
        <w:tc>
          <w:tcPr>
            <w:tcW w:w="1680" w:type="dxa"/>
            <w:vAlign w:val="bottom"/>
          </w:tcPr>
          <w:p>
            <w:pPr>
              <w:jc w:val="right"/>
              <w:ind w:right="850"/>
              <w:spacing w:after="0"/>
              <w:rPr>
                <w:sz w:val="20"/>
                <w:szCs w:val="20"/>
                <w:color w:val="auto"/>
              </w:rPr>
            </w:pPr>
            <w:r>
              <w:rPr>
                <w:rFonts w:ascii="Arial" w:cs="Arial" w:eastAsia="Arial" w:hAnsi="Arial"/>
                <w:sz w:val="18"/>
                <w:szCs w:val="18"/>
                <w:b w:val="1"/>
                <w:bCs w:val="1"/>
                <w:color w:val="auto"/>
              </w:rPr>
              <w:t>April</w:t>
            </w:r>
          </w:p>
        </w:tc>
        <w:tc>
          <w:tcPr>
            <w:tcW w:w="16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25"/>
        </w:trPr>
        <w:tc>
          <w:tcPr>
            <w:tcW w:w="3680" w:type="dxa"/>
            <w:vAlign w:val="bottom"/>
            <w:vMerge w:val="continue"/>
          </w:tcPr>
          <w:p>
            <w:pPr>
              <w:spacing w:after="0"/>
              <w:rPr>
                <w:sz w:val="10"/>
                <w:szCs w:val="10"/>
                <w:color w:val="auto"/>
              </w:rPr>
            </w:pPr>
          </w:p>
        </w:tc>
        <w:tc>
          <w:tcPr>
            <w:tcW w:w="1920" w:type="dxa"/>
            <w:vAlign w:val="bottom"/>
            <w:vMerge w:val="restart"/>
          </w:tcPr>
          <w:p>
            <w:pPr>
              <w:jc w:val="right"/>
              <w:ind w:right="850"/>
              <w:spacing w:after="0"/>
              <w:rPr>
                <w:sz w:val="20"/>
                <w:szCs w:val="20"/>
                <w:color w:val="auto"/>
              </w:rPr>
            </w:pPr>
            <w:r>
              <w:rPr>
                <w:rFonts w:ascii="Arial" w:cs="Arial" w:eastAsia="Arial" w:hAnsi="Arial"/>
                <w:sz w:val="18"/>
                <w:szCs w:val="18"/>
                <w:b w:val="1"/>
                <w:bCs w:val="1"/>
                <w:color w:val="auto"/>
              </w:rPr>
              <w:t>2026</w:t>
            </w:r>
          </w:p>
        </w:tc>
        <w:tc>
          <w:tcPr>
            <w:tcW w:w="168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6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vMerge w:val="continue"/>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680" w:type="dxa"/>
            <w:vAlign w:val="bottom"/>
            <w:tcBorders>
              <w:right w:val="single" w:sz="8" w:color="auto"/>
            </w:tcBorders>
          </w:tcPr>
          <w:p>
            <w:pPr>
              <w:jc w:val="right"/>
              <w:spacing w:after="0" w:line="258" w:lineRule="exact"/>
              <w:rPr>
                <w:sz w:val="20"/>
                <w:szCs w:val="20"/>
                <w:color w:val="auto"/>
              </w:rPr>
            </w:pPr>
            <w:r>
              <w:rPr>
                <w:rFonts w:ascii="Arial" w:cs="Arial" w:eastAsia="Arial" w:hAnsi="Arial"/>
                <w:sz w:val="18"/>
                <w:szCs w:val="18"/>
                <w:color w:val="auto"/>
              </w:rPr>
              <w:t xml:space="preserve">ASM (mm) </w:t>
            </w:r>
            <w:r>
              <w:rPr>
                <w:rFonts w:ascii="Arial" w:cs="Arial" w:eastAsia="Arial" w:hAnsi="Arial"/>
                <w:sz w:val="23"/>
                <w:szCs w:val="23"/>
                <w:color w:val="auto"/>
                <w:vertAlign w:val="superscript"/>
              </w:rPr>
              <w:t>(1)</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2,971.9</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2,546.6</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56"/>
        </w:trPr>
        <w:tc>
          <w:tcPr>
            <w:tcW w:w="3680" w:type="dxa"/>
            <w:vAlign w:val="bottom"/>
            <w:tcBorders>
              <w:right w:val="single" w:sz="8" w:color="auto"/>
            </w:tcBorders>
          </w:tcPr>
          <w:p>
            <w:pPr>
              <w:jc w:val="right"/>
              <w:spacing w:after="0" w:line="256" w:lineRule="exact"/>
              <w:rPr>
                <w:sz w:val="20"/>
                <w:szCs w:val="20"/>
                <w:color w:val="auto"/>
              </w:rPr>
            </w:pPr>
            <w:r>
              <w:rPr>
                <w:rFonts w:ascii="Arial" w:cs="Arial" w:eastAsia="Arial" w:hAnsi="Arial"/>
                <w:sz w:val="18"/>
                <w:szCs w:val="18"/>
                <w:color w:val="auto"/>
              </w:rPr>
              <w:t xml:space="preserve">RPM (mm) </w:t>
            </w:r>
            <w:r>
              <w:rPr>
                <w:rFonts w:ascii="Arial" w:cs="Arial" w:eastAsia="Arial" w:hAnsi="Arial"/>
                <w:sz w:val="23"/>
                <w:szCs w:val="23"/>
                <w:color w:val="auto"/>
                <w:vertAlign w:val="superscript"/>
              </w:rPr>
              <w:t>(2)</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2,579.8</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2,209.7</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48"/>
        </w:trPr>
        <w:tc>
          <w:tcPr>
            <w:tcW w:w="3680" w:type="dxa"/>
            <w:vAlign w:val="bottom"/>
            <w:tcBorders>
              <w:right w:val="single" w:sz="8" w:color="auto"/>
            </w:tcBorders>
          </w:tcPr>
          <w:p>
            <w:pPr>
              <w:jc w:val="right"/>
              <w:spacing w:after="0" w:line="248" w:lineRule="exact"/>
              <w:rPr>
                <w:sz w:val="20"/>
                <w:szCs w:val="20"/>
                <w:color w:val="auto"/>
              </w:rPr>
            </w:pPr>
            <w:r>
              <w:rPr>
                <w:rFonts w:ascii="Arial" w:cs="Arial" w:eastAsia="Arial" w:hAnsi="Arial"/>
                <w:sz w:val="18"/>
                <w:szCs w:val="18"/>
                <w:b w:val="1"/>
                <w:bCs w:val="1"/>
                <w:color w:val="auto"/>
              </w:rPr>
              <w:t xml:space="preserve">Load Factor </w:t>
            </w:r>
            <w:r>
              <w:rPr>
                <w:rFonts w:ascii="Arial" w:cs="Arial" w:eastAsia="Arial" w:hAnsi="Arial"/>
                <w:sz w:val="23"/>
                <w:szCs w:val="23"/>
                <w:color w:val="auto"/>
                <w:vertAlign w:val="superscript"/>
              </w:rPr>
              <w:t>(3)</w:t>
            </w: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rPr>
              <w:t>86.8 %</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86.8 %</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 p.p.</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Available seat miles - represents the aircraft seating capacity multiplied by the number of miles the seats are flown.</w:t>
      </w:r>
    </w:p>
    <w:p>
      <w:pPr>
        <w:spacing w:after="0" w:line="15"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 passenger miles - represents the number of miles flown by revenue passengers</w:t>
      </w:r>
    </w:p>
    <w:p>
      <w:pPr>
        <w:spacing w:after="0" w:line="14"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Load factor - represents the percentage of aircraft seating capacity that is utilized</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April 2026, Copa Holdings' capacity (ASMs) increased by 16.7%, while system-wide passenger traffic (RPMs) increased by 16.7% compared to 2025. As a result, the system load factor for the month was 86.8%, flat compared to April 2025.</w:t>
      </w:r>
    </w:p>
    <w:p>
      <w:pPr>
        <w:spacing w:after="0" w:line="15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Copa Holdings is a leading Latin American provider of passenger and cargo services. The Company, through its operating subsidiaries, provides service to countries in North, Central, and South America and the Caribbean. For more information, visit ir.copaair.com.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CPA-G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investor.relations@copaair.com</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2026-05-13T05:14:36Z</dcterms:created>
  <dcterms:modified xsi:type="dcterms:W3CDTF">2026-05-13T05:14:36Z</dcterms:modified>
</cp:coreProperties>
</file>