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SEC Form 3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160" w:type="dxa"/>
            <w:vAlign w:val="bottom"/>
          </w:tcPr>
          <w:p>
            <w:pPr>
              <w:ind w:left="7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FORM 3</w:t>
            </w:r>
          </w:p>
        </w:tc>
        <w:tc>
          <w:tcPr>
            <w:tcW w:w="6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6930390</wp:posOffset>
            </wp:positionH>
            <wp:positionV relativeFrom="paragraph">
              <wp:posOffset>-505460</wp:posOffset>
            </wp:positionV>
            <wp:extent cx="51435" cy="5187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5614670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-10160</wp:posOffset>
            </wp:positionH>
            <wp:positionV relativeFrom="paragraph">
              <wp:posOffset>19685</wp:posOffset>
            </wp:positionV>
            <wp:extent cx="7019290" cy="27298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2729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</w:sectPr>
      </w:pPr>
    </w:p>
    <w:p>
      <w:pPr>
        <w:spacing w:after="0" w:line="42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 Date of Event Requiring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5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5"/>
                </w:rPr>
                <w:t>Giraldo Carlos Mario</w:t>
              </w:r>
            </w:hyperlink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Statement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  <w:vMerge w:val="restart"/>
          </w:tcPr>
          <w:p>
            <w:pPr>
              <w:ind w:left="1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03/17/2026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2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3. Issuer Name 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7"/>
          <w:szCs w:val="17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7"/>
            <w:szCs w:val="17"/>
            <w:u w:val="single" w:color="auto"/>
            <w:color w:val="0000EE"/>
          </w:rPr>
          <w:t>Copa Holdings, S.A.</w:t>
        </w:r>
        <w:r>
          <w:rPr>
            <w:rFonts w:ascii="Times New Roman" w:cs="Times New Roman" w:eastAsia="Times New Roman" w:hAnsi="Times New Roman"/>
            <w:sz w:val="17"/>
            <w:szCs w:val="17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[</w:t>
      </w:r>
      <w:r>
        <w:rPr>
          <w:rFonts w:ascii="Times New Roman" w:cs="Times New Roman" w:eastAsia="Times New Roman" w:hAnsi="Times New Roman"/>
          <w:sz w:val="17"/>
          <w:szCs w:val="17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CPA</w:t>
      </w:r>
      <w:r>
        <w:rPr>
          <w:rFonts w:ascii="Times New Roman" w:cs="Times New Roman" w:eastAsia="Times New Roman" w:hAnsi="Times New Roman"/>
          <w:sz w:val="17"/>
          <w:szCs w:val="17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]</w:t>
      </w:r>
    </w:p>
    <w:p>
      <w:pPr>
        <w:spacing w:after="0" w:line="3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660" w:space="340"/>
            <w:col w:w="6020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CRA 48 NO.32B SOUTH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139 LAS VEGAS AVE</w:t>
      </w:r>
    </w:p>
    <w:p>
      <w:pPr>
        <w:spacing w:after="0" w:line="233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(Street)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MEDELLIN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F8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7" w:right="880" w:firstLine="7"/>
        <w:spacing w:after="0" w:line="260" w:lineRule="auto"/>
        <w:tabs>
          <w:tab w:leader="none" w:pos="108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p>
      <w:pPr>
        <w:spacing w:after="0" w:line="21" w:lineRule="exact"/>
        <w:rPr>
          <w:sz w:val="24"/>
          <w:szCs w:val="24"/>
          <w:color w:val="auto"/>
        </w:rPr>
      </w:pPr>
    </w:p>
    <w:tbl>
      <w:tblPr>
        <w:tblLayout w:type="fixed"/>
        <w:tblInd w:w="51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3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If Amendment, Date of Original Filed (Month/Day/Year)</w:t>
      </w:r>
    </w:p>
    <w:p>
      <w:pPr>
        <w:spacing w:after="0" w:line="268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Individual or Joint/Group Filing (Check Applicable Line)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One Reporting Person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More than One Reporting Person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87" w:space="720"/>
            <w:col w:w="3073" w:space="222"/>
            <w:col w:w="2718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(Zip)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2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Nature of Indirect Beneficial Ownership (Instr. 5)</w:t>
            </w: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 or Indirect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II - Derivative Securities Beneficially Owned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Title and Amount of Securities 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62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 Security (Instr. 4)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580" w:type="dxa"/>
            <w:vAlign w:val="bottom"/>
          </w:tcPr>
          <w:p>
            <w:pPr>
              <w:ind w:left="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3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3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Remarks: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3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No securities beneficially owned. Exhibit 24 - Power of Attorney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3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Ambar Vargas, Attorney-in-fact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03/17/2026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5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5000" w:hanging="6"/>
        <w:spacing w:after="0" w:line="324" w:lineRule="auto"/>
        <w:tabs>
          <w:tab w:leader="none" w:pos="149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027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2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417830</wp:posOffset>
            </wp:positionV>
            <wp:extent cx="6944360" cy="91090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9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1" Type="http://schemas.openxmlformats.org/officeDocument/2006/relationships/hyperlink" Target="http://www.sec.gov/cgi-bin/browse-edgar?action=getcompany&amp;CIK=0002119724" TargetMode="External"/><Relationship Id="rId12" Type="http://schemas.openxmlformats.org/officeDocument/2006/relationships/hyperlink" Target="http://www.sec.gov/cgi-bin/browse-edgar?action=getcompany&amp;CIK=000134510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2026-03-17T11:51:40Z</dcterms:created>
  <dcterms:modified xsi:type="dcterms:W3CDTF">2026-03-17T11:51:40Z</dcterms:modified>
</cp:coreProperties>
</file>