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45"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11"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386"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Report of Foreign Issuer</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20"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161"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Report on Form 6-K dated for the month of May 2026</w:t>
      </w:r>
    </w:p>
    <w:p>
      <w:pPr>
        <w:spacing w:after="0" w:line="200" w:lineRule="exact"/>
        <w:rPr>
          <w:sz w:val="24"/>
          <w:szCs w:val="24"/>
          <w:color w:val="auto"/>
        </w:rPr>
      </w:pPr>
    </w:p>
    <w:p>
      <w:pPr>
        <w:spacing w:after="0" w:line="216"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32"/>
          <w:szCs w:val="32"/>
          <w:b w:val="1"/>
          <w:bCs w:val="1"/>
          <w:color w:val="auto"/>
        </w:rPr>
        <w:t>Copa Holdings, S.A.</w:t>
      </w:r>
    </w:p>
    <w:p>
      <w:pPr>
        <w:spacing w:after="0" w:line="59"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0" w:lineRule="exact"/>
        <w:rPr>
          <w:sz w:val="24"/>
          <w:szCs w:val="24"/>
          <w:color w:val="auto"/>
        </w:rPr>
      </w:pPr>
    </w:p>
    <w:p>
      <w:pPr>
        <w:spacing w:after="0" w:line="231"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Boulevard Costa del Este, Avenida Principal y Avenida de la Rotonda</w:t>
      </w:r>
    </w:p>
    <w:p>
      <w:pPr>
        <w:spacing w:after="0" w:line="15"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Urbanización Costa del Este</w:t>
      </w: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Complejo Business Park, Torre Norte</w:t>
      </w:r>
    </w:p>
    <w:p>
      <w:pPr>
        <w:spacing w:after="0" w:line="5"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ParqueLefevre</w:t>
      </w:r>
    </w:p>
    <w:p>
      <w:pPr>
        <w:jc w:val="center"/>
        <w:ind w:right="-339"/>
        <w:spacing w:after="0" w:line="234" w:lineRule="auto"/>
        <w:rPr>
          <w:sz w:val="20"/>
          <w:szCs w:val="20"/>
          <w:color w:val="auto"/>
        </w:rPr>
      </w:pPr>
      <w:r>
        <w:rPr>
          <w:rFonts w:ascii="Times New Roman" w:cs="Times New Roman" w:eastAsia="Times New Roman" w:hAnsi="Times New Roman"/>
          <w:sz w:val="18"/>
          <w:szCs w:val="18"/>
          <w:b w:val="1"/>
          <w:bCs w:val="1"/>
          <w:color w:val="auto"/>
        </w:rPr>
        <w:t>Panama City, Panama</w:t>
      </w:r>
    </w:p>
    <w:p>
      <w:pPr>
        <w:spacing w:after="0" w:line="1"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34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ind w:left="4520"/>
        <w:spacing w:after="0"/>
        <w:tabs>
          <w:tab w:leader="none" w:pos="5500" w:val="left"/>
          <w:tab w:leader="none" w:pos="6240" w:val="left"/>
        </w:tabs>
        <w:rPr>
          <w:sz w:val="20"/>
          <w:szCs w:val="20"/>
          <w:color w:val="auto"/>
        </w:rPr>
      </w:pPr>
      <w:r>
        <w:rPr>
          <w:rFonts w:ascii="Times New Roman" w:cs="Times New Roman" w:eastAsia="Times New Roman" w:hAnsi="Times New Roman"/>
          <w:sz w:val="18"/>
          <w:szCs w:val="18"/>
          <w:color w:val="auto"/>
        </w:rPr>
        <w:t>Form 20-F</w:t>
      </w:r>
      <w:r>
        <w:rPr>
          <w:rFonts w:ascii="Times New Roman" w:cs="Times New Roman" w:eastAsia="Times New Roman" w:hAnsi="Times New Roman"/>
          <w:sz w:val="18"/>
          <w:szCs w:val="18"/>
          <w:color w:val="FF6600"/>
        </w:rPr>
        <w:tab/>
        <w:t>X</w:t>
      </w:r>
      <w:r>
        <w:rPr>
          <w:sz w:val="20"/>
          <w:szCs w:val="20"/>
          <w:color w:val="auto"/>
        </w:rPr>
        <w:tab/>
      </w:r>
      <w:r>
        <w:rPr>
          <w:rFonts w:ascii="Times New Roman" w:cs="Times New Roman" w:eastAsia="Times New Roman" w:hAnsi="Times New Roman"/>
          <w:sz w:val="18"/>
          <w:szCs w:val="18"/>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3382645</wp:posOffset>
            </wp:positionH>
            <wp:positionV relativeFrom="paragraph">
              <wp:posOffset>17145</wp:posOffset>
            </wp:positionV>
            <wp:extent cx="3340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4010" cy="8890"/>
                    </a:xfrm>
                    <a:prstGeom prst="rect">
                      <a:avLst/>
                    </a:prstGeom>
                    <a:noFill/>
                  </pic:spPr>
                </pic:pic>
              </a:graphicData>
            </a:graphic>
          </wp:anchor>
        </w:drawing>
      </w:r>
    </w:p>
    <w:p>
      <w:pPr>
        <w:spacing w:after="0" w:line="178"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(Indicate by check whether the registrant by furnishing the information contained in this Form is also thereby furnishing the information to the Commission pursuant to Rule 12g3-2(b) under the Securities Exchange Act of 1934.)</w:t>
      </w:r>
    </w:p>
    <w:p>
      <w:pPr>
        <w:spacing w:after="0" w:line="148" w:lineRule="exact"/>
        <w:rPr>
          <w:sz w:val="24"/>
          <w:szCs w:val="24"/>
          <w:color w:val="auto"/>
        </w:rPr>
      </w:pPr>
    </w:p>
    <w:p>
      <w:pPr>
        <w:ind w:left="4920"/>
        <w:spacing w:after="0"/>
        <w:tabs>
          <w:tab w:leader="none" w:pos="5720" w:val="left"/>
          <w:tab w:leader="none" w:pos="628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6"/>
          <w:szCs w:val="16"/>
          <w:color w:val="FF6600"/>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3346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4645"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17145</wp:posOffset>
            </wp:positionV>
            <wp:extent cx="2057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19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(If “Yes” is marked, indicate below the file number assigned to the registrant in connection with Rule 12g3-2(b);82- ____)</w:t>
      </w:r>
    </w:p>
    <w:p>
      <w:pPr>
        <w:spacing w:after="0" w:line="200" w:lineRule="exact"/>
        <w:rPr>
          <w:sz w:val="24"/>
          <w:szCs w:val="24"/>
          <w:color w:val="auto"/>
        </w:rPr>
      </w:pPr>
    </w:p>
    <w:p>
      <w:pPr>
        <w:spacing w:after="0" w:line="32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Enclosure: 1Q26 Earnings Release</w:t>
      </w:r>
    </w:p>
    <w:p>
      <w:pPr>
        <w:sectPr>
          <w:pgSz w:w="11900" w:h="16838" w:orient="portrait"/>
          <w:cols w:equalWidth="0" w:num="1">
            <w:col w:w="10920"/>
          </w:cols>
          <w:pgMar w:left="320" w:top="1267" w:right="659" w:bottom="1440" w:gutter="0" w:footer="0" w:header="0"/>
        </w:sectPr>
      </w:pPr>
    </w:p>
    <w:bookmarkStart w:id="1" w:name="page2"/>
    <w:bookmarkEnd w:id="1"/>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6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7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Copa Holdings, S.A.</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(Registrant)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5/14/2026</w:t>
      </w:r>
    </w:p>
    <w:p>
      <w:pPr>
        <w:spacing w:after="0" w:line="50" w:lineRule="exact"/>
        <w:rPr>
          <w:sz w:val="20"/>
          <w:szCs w:val="20"/>
          <w:color w:val="auto"/>
        </w:rPr>
      </w:pPr>
    </w:p>
    <w:p>
      <w:pPr>
        <w:ind w:left="546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Donkersloot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26035</wp:posOffset>
            </wp:positionV>
            <wp:extent cx="32486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4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Name: Peter Donkersloot</w:t>
      </w:r>
    </w:p>
    <w:p>
      <w:pPr>
        <w:spacing w:after="0" w:line="27"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Title: CFO</w:t>
      </w:r>
    </w:p>
    <w:p>
      <w:pPr>
        <w:sectPr>
          <w:pgSz w:w="11900" w:h="16838" w:orient="portrait"/>
          <w:cols w:equalWidth="0" w:num="1">
            <w:col w:w="10280"/>
          </w:cols>
          <w:pgMar w:left="320" w:top="1035" w:right="129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5837555" cy="11055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837555" cy="110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Copa Holdings Reports First-Quarter Financial Results</w:t>
      </w:r>
    </w:p>
    <w:p>
      <w:pPr>
        <w:spacing w:after="0" w:line="113" w:lineRule="exact"/>
        <w:rPr>
          <w:sz w:val="20"/>
          <w:szCs w:val="20"/>
          <w:color w:val="auto"/>
        </w:rPr>
      </w:pPr>
    </w:p>
    <w:p>
      <w:pPr>
        <w:ind w:right="60"/>
        <w:spacing w:after="0" w:line="215" w:lineRule="exact"/>
        <w:rPr>
          <w:sz w:val="20"/>
          <w:szCs w:val="20"/>
          <w:color w:val="auto"/>
        </w:rPr>
      </w:pPr>
      <w:r>
        <w:rPr>
          <w:rFonts w:ascii="Arial" w:cs="Arial" w:eastAsia="Arial" w:hAnsi="Arial"/>
          <w:sz w:val="18"/>
          <w:szCs w:val="18"/>
          <w:color w:val="auto"/>
        </w:rPr>
        <w:t>Panama City, Panama --- May 13, 2026. Copa Holdings</w:t>
      </w:r>
      <w:r>
        <w:rPr>
          <w:rFonts w:ascii="Arial" w:cs="Arial" w:eastAsia="Arial" w:hAnsi="Arial"/>
          <w:sz w:val="23"/>
          <w:szCs w:val="23"/>
          <w:color w:val="auto"/>
          <w:vertAlign w:val="superscript"/>
        </w:rPr>
        <w:t>1</w:t>
      </w:r>
      <w:r>
        <w:rPr>
          <w:rFonts w:ascii="Arial" w:cs="Arial" w:eastAsia="Arial" w:hAnsi="Arial"/>
          <w:sz w:val="18"/>
          <w:szCs w:val="18"/>
          <w:color w:val="auto"/>
        </w:rPr>
        <w:t>, S.A. (NYSE: CPA), today announced financial results for the first quarter of 2026 (1Q26), reflecting continued industry</w:t>
      </w:r>
      <w:r>
        <w:rPr>
          <w:rFonts w:ascii="MS PGothic" w:cs="MS PGothic" w:eastAsia="MS PGothic" w:hAnsi="MS PGothic"/>
          <w:sz w:val="18"/>
          <w:szCs w:val="18"/>
          <w:color w:val="auto"/>
        </w:rPr>
        <w:t>‑</w:t>
      </w:r>
      <w:r>
        <w:rPr>
          <w:rFonts w:ascii="Arial" w:cs="Arial" w:eastAsia="Arial" w:hAnsi="Arial"/>
          <w:sz w:val="18"/>
          <w:szCs w:val="18"/>
          <w:color w:val="auto"/>
        </w:rPr>
        <w:t>leading profitability, disciplined execution, and the resilience of its business model amid a higher jet fuel price environment. Key highlights include:</w:t>
      </w:r>
    </w:p>
    <w:p>
      <w:pPr>
        <w:spacing w:after="0" w:line="60" w:lineRule="exact"/>
        <w:rPr>
          <w:sz w:val="20"/>
          <w:szCs w:val="20"/>
          <w:color w:val="auto"/>
        </w:rPr>
      </w:pPr>
    </w:p>
    <w:p>
      <w:pPr>
        <w:ind w:left="260" w:hanging="252"/>
        <w:spacing w:after="0" w:line="207" w:lineRule="exact"/>
        <w:tabs>
          <w:tab w:leader="none" w:pos="26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color w:val="auto"/>
        </w:rPr>
        <w:t>Net profit of US$212.5 million or US$5.16 per share, a 20.5% year</w:t>
      </w:r>
      <w:r>
        <w:rPr>
          <w:rFonts w:ascii="MS PGothic" w:cs="MS PGothic" w:eastAsia="MS PGothic" w:hAnsi="MS PGothic"/>
          <w:sz w:val="18"/>
          <w:szCs w:val="18"/>
          <w:color w:val="auto"/>
        </w:rPr>
        <w:t>‑</w:t>
      </w:r>
      <w:r>
        <w:rPr>
          <w:rFonts w:ascii="Arial" w:cs="Arial" w:eastAsia="Arial" w:hAnsi="Arial"/>
          <w:sz w:val="18"/>
          <w:szCs w:val="18"/>
          <w:color w:val="auto"/>
        </w:rPr>
        <w:t>over</w:t>
      </w:r>
      <w:r>
        <w:rPr>
          <w:rFonts w:ascii="MS PGothic" w:cs="MS PGothic" w:eastAsia="MS PGothic" w:hAnsi="MS PGothic"/>
          <w:sz w:val="18"/>
          <w:szCs w:val="18"/>
          <w:color w:val="auto"/>
        </w:rPr>
        <w:t>‑</w:t>
      </w:r>
      <w:r>
        <w:rPr>
          <w:rFonts w:ascii="Arial" w:cs="Arial" w:eastAsia="Arial" w:hAnsi="Arial"/>
          <w:sz w:val="18"/>
          <w:szCs w:val="18"/>
          <w:color w:val="auto"/>
        </w:rPr>
        <w:t>year increase in earnings per share.</w:t>
      </w:r>
    </w:p>
    <w:p>
      <w:pPr>
        <w:spacing w:after="0" w:line="170" w:lineRule="exact"/>
        <w:rPr>
          <w:rFonts w:ascii="Arial" w:cs="Arial" w:eastAsia="Arial" w:hAnsi="Arial"/>
          <w:sz w:val="18"/>
          <w:szCs w:val="18"/>
          <w:b w:val="1"/>
          <w:bCs w:val="1"/>
          <w:i w:val="1"/>
          <w:iCs w:val="1"/>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Operating margin of 24.6% and net margin of 20.2%, increases of 0.8 and 0.5 percentage points, respectively, compared to 1Q25.</w:t>
      </w:r>
    </w:p>
    <w:p>
      <w:pPr>
        <w:spacing w:after="0" w:line="144" w:lineRule="exact"/>
        <w:rPr>
          <w:rFonts w:ascii="Arial" w:cs="Arial" w:eastAsia="Arial" w:hAnsi="Arial"/>
          <w:sz w:val="18"/>
          <w:szCs w:val="18"/>
          <w:color w:val="auto"/>
        </w:rPr>
      </w:pPr>
    </w:p>
    <w:p>
      <w:pPr>
        <w:ind w:left="260" w:hanging="252"/>
        <w:spacing w:after="0" w:line="287" w:lineRule="auto"/>
        <w:tabs>
          <w:tab w:leader="none" w:pos="256" w:val="left"/>
        </w:tabs>
        <w:numPr>
          <w:ilvl w:val="0"/>
          <w:numId w:val="1"/>
        </w:numPr>
        <w:rPr>
          <w:rFonts w:ascii="Arial" w:cs="Arial" w:eastAsia="Arial" w:hAnsi="Arial"/>
          <w:sz w:val="18"/>
          <w:szCs w:val="18"/>
          <w:color w:val="auto"/>
        </w:rPr>
      </w:pPr>
      <w:r>
        <w:rPr>
          <w:rFonts w:ascii="Arial" w:cs="Arial" w:eastAsia="Arial" w:hAnsi="Arial"/>
          <w:sz w:val="18"/>
          <w:szCs w:val="18"/>
          <w:color w:val="auto"/>
        </w:rPr>
        <w:t>Capacity, measured in available seat miles (ASMs), grew by 14.0% year over year, and passenger traffic in RPMs increased by 15.0%. As a result, load factor increased by 0.8 percentage points to 87.2%.</w:t>
      </w:r>
    </w:p>
    <w:p>
      <w:pPr>
        <w:spacing w:after="0" w:line="58"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Revenue per available seat mile (RASM) of 11.8 cents, an increase of 2.7% compared to 1Q25.</w:t>
      </w:r>
    </w:p>
    <w:p>
      <w:pPr>
        <w:spacing w:after="0" w:line="130" w:lineRule="exact"/>
        <w:rPr>
          <w:rFonts w:ascii="Arial" w:cs="Arial" w:eastAsia="Arial" w:hAnsi="Arial"/>
          <w:sz w:val="18"/>
          <w:szCs w:val="18"/>
          <w:color w:val="auto"/>
        </w:rPr>
      </w:pPr>
    </w:p>
    <w:p>
      <w:pPr>
        <w:ind w:left="260" w:hanging="252"/>
        <w:spacing w:after="0" w:line="287" w:lineRule="auto"/>
        <w:tabs>
          <w:tab w:leader="none" w:pos="256" w:val="left"/>
        </w:tabs>
        <w:numPr>
          <w:ilvl w:val="0"/>
          <w:numId w:val="1"/>
        </w:numPr>
        <w:rPr>
          <w:rFonts w:ascii="Arial" w:cs="Arial" w:eastAsia="Arial" w:hAnsi="Arial"/>
          <w:sz w:val="18"/>
          <w:szCs w:val="18"/>
          <w:color w:val="auto"/>
        </w:rPr>
      </w:pPr>
      <w:r>
        <w:rPr>
          <w:rFonts w:ascii="Arial" w:cs="Arial" w:eastAsia="Arial" w:hAnsi="Arial"/>
          <w:sz w:val="18"/>
          <w:szCs w:val="18"/>
          <w:color w:val="auto"/>
        </w:rPr>
        <w:t>Operating cost per available seat mile (CASM) increased 1.6% year over year to 8.9 cents, while CASM excluding fuel (Ex-fuel CASM) decreased 1.0% to 5.8 cents.</w:t>
      </w:r>
    </w:p>
    <w:p>
      <w:pPr>
        <w:spacing w:after="0" w:line="71" w:lineRule="exact"/>
        <w:rPr>
          <w:rFonts w:ascii="Arial" w:cs="Arial" w:eastAsia="Arial" w:hAnsi="Arial"/>
          <w:sz w:val="18"/>
          <w:szCs w:val="18"/>
          <w:color w:val="auto"/>
        </w:rPr>
      </w:pPr>
    </w:p>
    <w:p>
      <w:pPr>
        <w:ind w:left="260" w:hanging="252"/>
        <w:spacing w:after="0" w:line="287" w:lineRule="auto"/>
        <w:tabs>
          <w:tab w:leader="none" w:pos="256"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ended the quarter with approximately US$1.5 billion in cash, short-term and long-term investments, representing 40% of the last-twelve-months’ revenues.</w:t>
      </w:r>
    </w:p>
    <w:p>
      <w:pPr>
        <w:spacing w:after="0" w:line="58"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Adjusted Net Debt to EBITDA ratio ended 1Q26 at 0.7 times.</w:t>
      </w:r>
    </w:p>
    <w:p>
      <w:pPr>
        <w:spacing w:after="0" w:line="130" w:lineRule="exact"/>
        <w:rPr>
          <w:rFonts w:ascii="Arial" w:cs="Arial" w:eastAsia="Arial" w:hAnsi="Arial"/>
          <w:sz w:val="18"/>
          <w:szCs w:val="18"/>
          <w:color w:val="auto"/>
        </w:rPr>
      </w:pPr>
    </w:p>
    <w:p>
      <w:pPr>
        <w:ind w:left="260" w:hanging="252"/>
        <w:spacing w:after="0" w:line="287" w:lineRule="auto"/>
        <w:tabs>
          <w:tab w:leader="none" w:pos="256"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repurchased US$45 million worth of shares during the quarter under the Company’s current US$200 million repurchase authorization. This represents approximately 1% of total outstanding shares as of the end of the quarter.</w:t>
      </w:r>
    </w:p>
    <w:p>
      <w:pPr>
        <w:spacing w:after="0" w:line="71"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1Q26, the Company took delivery of 2 Boeing 737-MAX 8 aircraft to end the quarter with a total fleet of 127 aircraft.</w:t>
      </w:r>
    </w:p>
    <w:p>
      <w:pPr>
        <w:spacing w:after="0" w:line="130" w:lineRule="exact"/>
        <w:rPr>
          <w:rFonts w:ascii="Arial" w:cs="Arial" w:eastAsia="Arial" w:hAnsi="Arial"/>
          <w:sz w:val="18"/>
          <w:szCs w:val="18"/>
          <w:color w:val="auto"/>
        </w:rPr>
      </w:pPr>
    </w:p>
    <w:p>
      <w:pPr>
        <w:ind w:left="260" w:hanging="252"/>
        <w:spacing w:after="0" w:line="287" w:lineRule="auto"/>
        <w:tabs>
          <w:tab w:leader="none" w:pos="256" w:val="left"/>
        </w:tabs>
        <w:numPr>
          <w:ilvl w:val="0"/>
          <w:numId w:val="1"/>
        </w:numPr>
        <w:rPr>
          <w:rFonts w:ascii="Arial" w:cs="Arial" w:eastAsia="Arial" w:hAnsi="Arial"/>
          <w:sz w:val="18"/>
          <w:szCs w:val="18"/>
          <w:color w:val="auto"/>
        </w:rPr>
      </w:pPr>
      <w:r>
        <w:rPr>
          <w:rFonts w:ascii="Arial" w:cs="Arial" w:eastAsia="Arial" w:hAnsi="Arial"/>
          <w:sz w:val="18"/>
          <w:szCs w:val="18"/>
          <w:color w:val="auto"/>
        </w:rPr>
        <w:t>Copa Airlines had an on-time performance for the quarter of 91.6% and a flight completion factor of 99.7%, once again positioning itself among the very best in the industry.</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Subsequent events</w:t>
      </w:r>
    </w:p>
    <w:p>
      <w:pPr>
        <w:spacing w:after="0" w:line="191" w:lineRule="exact"/>
        <w:rPr>
          <w:sz w:val="20"/>
          <w:szCs w:val="20"/>
          <w:color w:val="auto"/>
        </w:rPr>
      </w:pPr>
    </w:p>
    <w:p>
      <w:pPr>
        <w:ind w:left="260" w:hanging="252"/>
        <w:spacing w:after="0" w:line="287" w:lineRule="auto"/>
        <w:tabs>
          <w:tab w:leader="none" w:pos="256"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May 13, 2026, the Board of Directors of Copa Holdings ratified its second dividend payment for the year of US$1.71 per share, payable on June 15, 2026, to shareholders of record as of May 29, 2026.</w:t>
      </w:r>
    </w:p>
    <w:p>
      <w:pPr>
        <w:spacing w:after="0" w:line="71" w:lineRule="exact"/>
        <w:rPr>
          <w:rFonts w:ascii="Arial" w:cs="Arial" w:eastAsia="Arial" w:hAnsi="Arial"/>
          <w:sz w:val="18"/>
          <w:szCs w:val="18"/>
          <w:color w:val="auto"/>
        </w:rPr>
      </w:pPr>
    </w:p>
    <w:p>
      <w:pPr>
        <w:jc w:val="both"/>
        <w:ind w:left="260" w:hanging="252"/>
        <w:spacing w:after="0" w:line="224" w:lineRule="exact"/>
        <w:tabs>
          <w:tab w:leader="none" w:pos="256"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April, at an event held in Panama, the Company publicly announced a Boeing 737 MAX aircraft order consisting of 40 firm orders and 20 purchase options. Deliveries are expected between 2030 and 2034, supporting long</w:t>
      </w:r>
      <w:r>
        <w:rPr>
          <w:rFonts w:ascii="MS PGothic" w:cs="MS PGothic" w:eastAsia="MS PGothic" w:hAnsi="MS PGothic"/>
          <w:sz w:val="18"/>
          <w:szCs w:val="18"/>
          <w:color w:val="auto"/>
        </w:rPr>
        <w:t>‑</w:t>
      </w:r>
      <w:r>
        <w:rPr>
          <w:rFonts w:ascii="Arial" w:cs="Arial" w:eastAsia="Arial" w:hAnsi="Arial"/>
          <w:sz w:val="18"/>
          <w:szCs w:val="18"/>
          <w:color w:val="auto"/>
        </w:rPr>
        <w:t>term capacity growth while preserving flexibility within the Company’s existing fleet plan.</w:t>
      </w:r>
    </w:p>
    <w:p>
      <w:pPr>
        <w:spacing w:after="0" w:line="9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During the second quarter, the Company took delivery of two additional Boeing 737 MAX 8 aircraft, increasing its total fleet to 129 aircraft.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714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63" w:lineRule="exact"/>
        <w:rPr>
          <w:sz w:val="20"/>
          <w:szCs w:val="20"/>
          <w:color w:val="auto"/>
        </w:rPr>
      </w:pPr>
    </w:p>
    <w:p>
      <w:pPr>
        <w:jc w:val="both"/>
        <w:ind w:firstLine="8"/>
        <w:spacing w:after="0" w:line="193" w:lineRule="auto"/>
        <w:tabs>
          <w:tab w:leader="none" w:pos="110" w:val="left"/>
        </w:tabs>
        <w:numPr>
          <w:ilvl w:val="0"/>
          <w:numId w:val="3"/>
        </w:numPr>
        <w:rPr>
          <w:rFonts w:ascii="Arial" w:cs="Arial" w:eastAsia="Arial" w:hAnsi="Arial"/>
          <w:sz w:val="23"/>
          <w:szCs w:val="23"/>
          <w:color w:val="auto"/>
          <w:vertAlign w:val="superscript"/>
        </w:rPr>
      </w:pPr>
      <w:r>
        <w:rPr>
          <w:rFonts w:ascii="Arial" w:cs="Arial" w:eastAsia="Arial" w:hAnsi="Arial"/>
          <w:sz w:val="14"/>
          <w:szCs w:val="14"/>
          <w:color w:val="auto"/>
        </w:rPr>
        <w:t>The terms “Copa Holdings” and the “Company” refer to the consolidated entity. The financial information presented in this release, unless otherwise indicated, is presented in accordance with International Financial Reporting Standards (IFRS). See the accompanying reconciliation of non-IFRS financial information to IFRS financial information included in the financial tables section of this earnings release. Unless otherwise stated, all comparisons with prior periods refer to the first quarter of 2025 (1Q25).</w:t>
      </w:r>
    </w:p>
    <w:p>
      <w:pPr>
        <w:spacing w:after="0" w:line="334" w:lineRule="exact"/>
        <w:rPr>
          <w:sz w:val="20"/>
          <w:szCs w:val="20"/>
          <w:color w:val="auto"/>
        </w:rPr>
      </w:pPr>
    </w:p>
    <w:p>
      <w:pPr>
        <w:ind w:left="1082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5837555" cy="11061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5837555" cy="110617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Management’s comments on 1Q26 results</w:t>
      </w:r>
    </w:p>
    <w:p>
      <w:pPr>
        <w:spacing w:after="0" w:line="191" w:lineRule="exact"/>
        <w:rPr>
          <w:sz w:val="20"/>
          <w:szCs w:val="20"/>
          <w:color w:val="auto"/>
        </w:rPr>
      </w:pPr>
    </w:p>
    <w:p>
      <w:pPr>
        <w:jc w:val="both"/>
        <w:spacing w:after="0" w:line="222" w:lineRule="exact"/>
        <w:rPr>
          <w:sz w:val="20"/>
          <w:szCs w:val="20"/>
          <w:color w:val="auto"/>
        </w:rPr>
      </w:pPr>
      <w:r>
        <w:rPr>
          <w:rFonts w:ascii="Arial" w:cs="Arial" w:eastAsia="Arial" w:hAnsi="Arial"/>
          <w:sz w:val="18"/>
          <w:szCs w:val="18"/>
          <w:color w:val="auto"/>
        </w:rPr>
        <w:t>Copa Holdings reported another quarter of strong financial results and operational performance, reaffirming the strength and resilience of its business model, particularly as the industry entered a higher jet fuel price environment in March. In 1Q26, the Company once again delivered industry</w:t>
      </w:r>
      <w:r>
        <w:rPr>
          <w:rFonts w:ascii="MS PGothic" w:cs="MS PGothic" w:eastAsia="MS PGothic" w:hAnsi="MS PGothic"/>
          <w:sz w:val="18"/>
          <w:szCs w:val="18"/>
          <w:color w:val="auto"/>
        </w:rPr>
        <w:t>‑</w:t>
      </w:r>
      <w:r>
        <w:rPr>
          <w:rFonts w:ascii="Arial" w:cs="Arial" w:eastAsia="Arial" w:hAnsi="Arial"/>
          <w:sz w:val="18"/>
          <w:szCs w:val="18"/>
          <w:color w:val="auto"/>
        </w:rPr>
        <w:t>leading profitability, with an operating margin of 24.6% and a net margin of 20.2%, while increasing earnings per share by 20.5% year over year.</w:t>
      </w:r>
    </w:p>
    <w:p>
      <w:pPr>
        <w:spacing w:after="0" w:line="112" w:lineRule="exact"/>
        <w:rPr>
          <w:sz w:val="20"/>
          <w:szCs w:val="20"/>
          <w:color w:val="auto"/>
        </w:rPr>
      </w:pPr>
    </w:p>
    <w:p>
      <w:pPr>
        <w:jc w:val="both"/>
        <w:spacing w:after="0" w:line="239" w:lineRule="exact"/>
        <w:rPr>
          <w:sz w:val="20"/>
          <w:szCs w:val="20"/>
          <w:color w:val="auto"/>
        </w:rPr>
      </w:pPr>
      <w:r>
        <w:rPr>
          <w:rFonts w:ascii="Arial" w:cs="Arial" w:eastAsia="Arial" w:hAnsi="Arial"/>
          <w:sz w:val="18"/>
          <w:szCs w:val="18"/>
          <w:color w:val="auto"/>
        </w:rPr>
        <w:t>These results reflect a strong and resilient demand environment across the region, continued discipline in lowering unit costs, a passenger</w:t>
      </w:r>
      <w:r>
        <w:rPr>
          <w:rFonts w:ascii="MS PGothic" w:cs="MS PGothic" w:eastAsia="MS PGothic" w:hAnsi="MS PGothic"/>
          <w:sz w:val="18"/>
          <w:szCs w:val="18"/>
          <w:color w:val="auto"/>
        </w:rPr>
        <w:t>‑</w:t>
      </w:r>
      <w:r>
        <w:rPr>
          <w:rFonts w:ascii="Arial" w:cs="Arial" w:eastAsia="Arial" w:hAnsi="Arial"/>
          <w:sz w:val="18"/>
          <w:szCs w:val="18"/>
          <w:color w:val="auto"/>
        </w:rPr>
        <w:t>friendly product, and its relentless focus on operational excellence.</w:t>
      </w:r>
    </w:p>
    <w:p>
      <w:pPr>
        <w:spacing w:after="0" w:line="76" w:lineRule="exact"/>
        <w:rPr>
          <w:sz w:val="20"/>
          <w:szCs w:val="20"/>
          <w:color w:val="auto"/>
        </w:rPr>
      </w:pPr>
    </w:p>
    <w:p>
      <w:pPr>
        <w:jc w:val="both"/>
        <w:spacing w:after="0" w:line="222" w:lineRule="exact"/>
        <w:rPr>
          <w:sz w:val="20"/>
          <w:szCs w:val="20"/>
          <w:color w:val="auto"/>
        </w:rPr>
      </w:pPr>
      <w:r>
        <w:rPr>
          <w:rFonts w:ascii="Arial" w:cs="Arial" w:eastAsia="Arial" w:hAnsi="Arial"/>
          <w:sz w:val="18"/>
          <w:szCs w:val="18"/>
          <w:color w:val="auto"/>
        </w:rPr>
        <w:t>For the first quarter, operating revenues increased 17.0% year over year to US$1.1 billion, while capacity, measured in available seat miles (ASMs), grew 14.0%. Unit revenue (RASM) reached 11.8 cents, representing a 2.7% increase compared to 1Q25. Copa’s revenue performance was driven by a 0.8 percentage</w:t>
      </w:r>
      <w:r>
        <w:rPr>
          <w:rFonts w:ascii="MS PGothic" w:cs="MS PGothic" w:eastAsia="MS PGothic" w:hAnsi="MS PGothic"/>
          <w:sz w:val="18"/>
          <w:szCs w:val="18"/>
          <w:color w:val="auto"/>
        </w:rPr>
        <w:t>‑</w:t>
      </w:r>
      <w:r>
        <w:rPr>
          <w:rFonts w:ascii="Arial" w:cs="Arial" w:eastAsia="Arial" w:hAnsi="Arial"/>
          <w:sz w:val="18"/>
          <w:szCs w:val="18"/>
          <w:color w:val="auto"/>
        </w:rPr>
        <w:t>point increase in load factor to 87.2% and 1.6% higher yields, reflecting strong regional demand.</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expenses during the quarter increased 15.8% year over year to US$793.8 million, primarily driven by capacity growth and higher jet fuel prices. Cost per available seat mile excluding fuel (CASM Ex-fuel) declined 1.0% year over year to 5.8 cents, reflecting the Company’s continued cost discipline, while CASM increased 1.6% year over year to 8.9 cents in 1Q26 due to the jet fuel price increase.</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quarter, all-in jet fuel prices increased 7.5% year over year, from US$2.54 to US$2.73 per gallon. Although the average fuel price increase for the quarter was moderate, higher prices in the second half of March drove an approximately US$20 million year-over-year net impact on the Company’s first-quarter results.</w:t>
      </w:r>
    </w:p>
    <w:p>
      <w:pPr>
        <w:spacing w:after="0" w:line="36" w:lineRule="exact"/>
        <w:rPr>
          <w:sz w:val="20"/>
          <w:szCs w:val="20"/>
          <w:color w:val="auto"/>
        </w:rPr>
      </w:pPr>
    </w:p>
    <w:p>
      <w:pPr>
        <w:jc w:val="both"/>
        <w:spacing w:after="0" w:line="232" w:lineRule="exact"/>
        <w:rPr>
          <w:sz w:val="20"/>
          <w:szCs w:val="20"/>
          <w:color w:val="auto"/>
        </w:rPr>
      </w:pPr>
      <w:r>
        <w:rPr>
          <w:rFonts w:ascii="Arial" w:cs="Arial" w:eastAsia="Arial" w:hAnsi="Arial"/>
          <w:sz w:val="18"/>
          <w:szCs w:val="18"/>
          <w:color w:val="auto"/>
        </w:rPr>
        <w:t>Copa Holdings continues to maintain a strong liquidity and balance</w:t>
      </w:r>
      <w:r>
        <w:rPr>
          <w:rFonts w:ascii="MS PGothic" w:cs="MS PGothic" w:eastAsia="MS PGothic" w:hAnsi="MS PGothic"/>
          <w:sz w:val="18"/>
          <w:szCs w:val="18"/>
          <w:color w:val="auto"/>
        </w:rPr>
        <w:t>‑</w:t>
      </w:r>
      <w:r>
        <w:rPr>
          <w:rFonts w:ascii="Arial" w:cs="Arial" w:eastAsia="Arial" w:hAnsi="Arial"/>
          <w:sz w:val="18"/>
          <w:szCs w:val="18"/>
          <w:color w:val="auto"/>
        </w:rPr>
        <w:t>sheet position, ending the quarter with US$1.5 billion in cash, short</w:t>
      </w:r>
      <w:r>
        <w:rPr>
          <w:rFonts w:ascii="MS PGothic" w:cs="MS PGothic" w:eastAsia="MS PGothic" w:hAnsi="MS PGothic"/>
          <w:sz w:val="18"/>
          <w:szCs w:val="18"/>
          <w:color w:val="auto"/>
        </w:rPr>
        <w:t>‑</w:t>
      </w:r>
      <w:r>
        <w:rPr>
          <w:rFonts w:ascii="Arial" w:cs="Arial" w:eastAsia="Arial" w:hAnsi="Arial"/>
          <w:sz w:val="18"/>
          <w:szCs w:val="18"/>
          <w:color w:val="auto"/>
        </w:rPr>
        <w:t>term and long</w:t>
      </w:r>
      <w:r>
        <w:rPr>
          <w:rFonts w:ascii="MS PGothic" w:cs="MS PGothic" w:eastAsia="MS PGothic" w:hAnsi="MS PGothic"/>
          <w:sz w:val="18"/>
          <w:szCs w:val="18"/>
          <w:color w:val="auto"/>
        </w:rPr>
        <w:t>‑</w:t>
      </w:r>
      <w:r>
        <w:rPr>
          <w:rFonts w:ascii="Arial" w:cs="Arial" w:eastAsia="Arial" w:hAnsi="Arial"/>
          <w:sz w:val="18"/>
          <w:szCs w:val="18"/>
          <w:color w:val="auto"/>
        </w:rPr>
        <w:t>term investments, representing 40% of the last-twelve-months’ revenues and an adjusted net debt</w:t>
      </w:r>
      <w:r>
        <w:rPr>
          <w:rFonts w:ascii="MS PGothic" w:cs="MS PGothic" w:eastAsia="MS PGothic" w:hAnsi="MS PGothic"/>
          <w:sz w:val="18"/>
          <w:szCs w:val="18"/>
          <w:color w:val="auto"/>
        </w:rPr>
        <w:t>‑</w:t>
      </w:r>
      <w:r>
        <w:rPr>
          <w:rFonts w:ascii="Arial" w:cs="Arial" w:eastAsia="Arial" w:hAnsi="Arial"/>
          <w:sz w:val="18"/>
          <w:szCs w:val="18"/>
          <w:color w:val="auto"/>
        </w:rPr>
        <w:t xml:space="preserve"> to</w:t>
      </w:r>
      <w:r>
        <w:rPr>
          <w:rFonts w:ascii="MS PGothic" w:cs="MS PGothic" w:eastAsia="MS PGothic" w:hAnsi="MS PGothic"/>
          <w:sz w:val="18"/>
          <w:szCs w:val="18"/>
          <w:color w:val="auto"/>
        </w:rPr>
        <w:t>‑</w:t>
      </w:r>
      <w:r>
        <w:rPr>
          <w:rFonts w:ascii="Arial" w:cs="Arial" w:eastAsia="Arial" w:hAnsi="Arial"/>
          <w:sz w:val="18"/>
          <w:szCs w:val="18"/>
          <w:color w:val="auto"/>
        </w:rPr>
        <w:t>EBITDA ratio of 0.7 times. The Company also ended the quarter with 45 unencumbered aircraft and 15 unencumbered spare engines, providing significant financial flexibility.</w:t>
      </w:r>
    </w:p>
    <w:p>
      <w:pPr>
        <w:spacing w:after="0" w:line="10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remains focused on leveraging its Hub of the Americas® to deliver the most comprehensive and convenient intra-Americas network. Continued strong demand trends, combined with structurally low unit costs, best-in-class operational performance, and a superior passenger-friendly product, position the Company well to navigate the current higher jet fuel price environment while sustaining industry-leading profitability and disciplined long-term growth.</w:t>
      </w:r>
    </w:p>
    <w:p>
      <w:pPr>
        <w:spacing w:after="0" w:line="248" w:lineRule="exact"/>
        <w:rPr>
          <w:sz w:val="20"/>
          <w:szCs w:val="20"/>
          <w:color w:val="auto"/>
        </w:rPr>
      </w:pPr>
    </w:p>
    <w:p>
      <w:pPr>
        <w:ind w:left="1082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5837555" cy="11061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5837555" cy="110617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Outlook for 2026</w:t>
      </w:r>
    </w:p>
    <w:p>
      <w:pPr>
        <w:spacing w:after="0" w:line="19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continues to see a robust demand environment across the region. In addition, Copa’s effective business model and continued cost discipline positions the Company to sustain strong financial performance.</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For 2Q26, the Company expects </w:t>
      </w:r>
      <w:r>
        <w:rPr>
          <w:rFonts w:ascii="Arial" w:cs="Arial" w:eastAsia="Arial" w:hAnsi="Arial"/>
          <w:sz w:val="18"/>
          <w:szCs w:val="18"/>
          <w:b w:val="1"/>
          <w:bCs w:val="1"/>
          <w:color w:val="auto"/>
        </w:rPr>
        <w:t>an operating margin between 8% to 12%</w:t>
      </w:r>
      <w:r>
        <w:rPr>
          <w:rFonts w:ascii="Arial" w:cs="Arial" w:eastAsia="Arial" w:hAnsi="Arial"/>
          <w:sz w:val="18"/>
          <w:szCs w:val="18"/>
          <w:color w:val="auto"/>
        </w:rPr>
        <w:t xml:space="preserve"> with capacity growth in ASMs of 16% year over year. These results are impacted by a projected year-over-year increase in the all-in jet fuel price per gallon in the range of 80% to 90%, for which the Company expects to recover ~50% via higher revenues. This partial pass-through is a result of the already advanced booking levels.</w:t>
      </w:r>
    </w:p>
    <w:p>
      <w:pPr>
        <w:spacing w:after="0" w:line="36" w:lineRule="exact"/>
        <w:rPr>
          <w:sz w:val="20"/>
          <w:szCs w:val="20"/>
          <w:color w:val="auto"/>
        </w:rPr>
      </w:pPr>
    </w:p>
    <w:p>
      <w:pPr>
        <w:jc w:val="both"/>
        <w:ind w:right="20"/>
        <w:spacing w:after="0" w:line="259" w:lineRule="exact"/>
        <w:rPr>
          <w:sz w:val="20"/>
          <w:szCs w:val="20"/>
          <w:color w:val="auto"/>
        </w:rPr>
      </w:pPr>
      <w:r>
        <w:rPr>
          <w:rFonts w:ascii="Arial" w:cs="Arial" w:eastAsia="Arial" w:hAnsi="Arial"/>
          <w:sz w:val="18"/>
          <w:szCs w:val="18"/>
          <w:color w:val="auto"/>
        </w:rPr>
        <w:t>The Company continues to expect full</w:t>
      </w:r>
      <w:r>
        <w:rPr>
          <w:rFonts w:ascii="MS PGothic" w:cs="MS PGothic" w:eastAsia="MS PGothic" w:hAnsi="MS PGothic"/>
          <w:sz w:val="18"/>
          <w:szCs w:val="18"/>
          <w:color w:val="auto"/>
        </w:rPr>
        <w:t>‑</w:t>
      </w:r>
      <w:r>
        <w:rPr>
          <w:rFonts w:ascii="Arial" w:cs="Arial" w:eastAsia="Arial" w:hAnsi="Arial"/>
          <w:sz w:val="18"/>
          <w:szCs w:val="18"/>
          <w:color w:val="auto"/>
        </w:rPr>
        <w:t xml:space="preserve">year 2026 capacity growth, measured in ASMs, within the range of </w:t>
      </w:r>
      <w:r>
        <w:rPr>
          <w:rFonts w:ascii="Arial" w:cs="Arial" w:eastAsia="Arial" w:hAnsi="Arial"/>
          <w:sz w:val="18"/>
          <w:szCs w:val="18"/>
          <w:b w:val="1"/>
          <w:bCs w:val="1"/>
          <w:color w:val="auto"/>
        </w:rPr>
        <w:t>11% to 13% year over year</w:t>
      </w:r>
      <w:r>
        <w:rPr>
          <w:rFonts w:ascii="Arial" w:cs="Arial" w:eastAsia="Arial" w:hAnsi="Arial"/>
          <w:sz w:val="18"/>
          <w:szCs w:val="18"/>
          <w:color w:val="auto"/>
        </w:rPr>
        <w:t xml:space="preserve">, a load factor of approximately </w:t>
      </w:r>
      <w:r>
        <w:rPr>
          <w:rFonts w:ascii="Arial" w:cs="Arial" w:eastAsia="Arial" w:hAnsi="Arial"/>
          <w:sz w:val="18"/>
          <w:szCs w:val="18"/>
          <w:b w:val="1"/>
          <w:bCs w:val="1"/>
          <w:color w:val="auto"/>
        </w:rPr>
        <w:t>87%</w:t>
      </w:r>
      <w:r>
        <w:rPr>
          <w:rFonts w:ascii="Arial" w:cs="Arial" w:eastAsia="Arial" w:hAnsi="Arial"/>
          <w:sz w:val="18"/>
          <w:szCs w:val="18"/>
          <w:color w:val="auto"/>
        </w:rPr>
        <w:t>, and unit costs excluding fuel (Ex</w:t>
      </w:r>
      <w:r>
        <w:rPr>
          <w:rFonts w:ascii="MS PGothic" w:cs="MS PGothic" w:eastAsia="MS PGothic" w:hAnsi="MS PGothic"/>
          <w:sz w:val="18"/>
          <w:szCs w:val="18"/>
          <w:color w:val="auto"/>
        </w:rPr>
        <w:t>‑</w:t>
      </w:r>
      <w:r>
        <w:rPr>
          <w:rFonts w:ascii="Arial" w:cs="Arial" w:eastAsia="Arial" w:hAnsi="Arial"/>
          <w:sz w:val="18"/>
          <w:szCs w:val="18"/>
          <w:color w:val="auto"/>
        </w:rPr>
        <w:t xml:space="preserve">Fuel CASM) of approximately </w:t>
      </w:r>
      <w:r>
        <w:rPr>
          <w:rFonts w:ascii="Arial" w:cs="Arial" w:eastAsia="Arial" w:hAnsi="Arial"/>
          <w:sz w:val="18"/>
          <w:szCs w:val="18"/>
          <w:b w:val="1"/>
          <w:bCs w:val="1"/>
          <w:color w:val="auto"/>
        </w:rPr>
        <w:t>5.7 cents</w:t>
      </w:r>
      <w:r>
        <w:rPr>
          <w:rFonts w:ascii="Arial" w:cs="Arial" w:eastAsia="Arial" w:hAnsi="Arial"/>
          <w:sz w:val="18"/>
          <w:szCs w:val="18"/>
          <w:color w:val="auto"/>
        </w:rPr>
        <w:t>.</w:t>
      </w:r>
    </w:p>
    <w:p>
      <w:pPr>
        <w:spacing w:after="0" w:line="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Based on the current fuel curve and assuming that recent yield improvements are sustainable, the Company expects to recover a substantial portion of its increased fuel price expenses for the full year, reaching up to 100% by the end of the year.</w:t>
      </w:r>
    </w:p>
    <w:p>
      <w:pPr>
        <w:spacing w:after="0" w:line="6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Conference Call and Webcast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hold its financial results conference call tomorrow at 11am ET (10am local). Details follow:</w:t>
      </w:r>
    </w:p>
    <w:p>
      <w:pPr>
        <w:sectPr>
          <w:pgSz w:w="11900" w:h="16838" w:orient="portrait"/>
          <w:cols w:equalWidth="0" w:num="1">
            <w:col w:w="11240"/>
          </w:cols>
          <w:pgMar w:left="320" w:top="1440" w:right="339" w:bottom="1440" w:gutter="0" w:footer="0" w:header="0"/>
        </w:sectPr>
      </w:pP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May 14, 2026</w:t>
      </w:r>
    </w:p>
    <w:p>
      <w:pPr>
        <w:spacing w:after="0" w:line="36" w:lineRule="exact"/>
        <w:rPr>
          <w:sz w:val="20"/>
          <w:szCs w:val="20"/>
          <w:color w:val="auto"/>
        </w:rPr>
      </w:pPr>
    </w:p>
    <w:p>
      <w:pPr>
        <w:sectPr>
          <w:pgSz w:w="11900" w:h="16838" w:orient="portrait"/>
          <w:cols w:equalWidth="0" w:num="2">
            <w:col w:w="1880" w:space="720"/>
            <w:col w:w="8640"/>
          </w:cols>
          <w:pgMar w:left="320" w:top="1440" w:right="339" w:bottom="1440" w:gutter="0" w:footer="0" w:header="0"/>
          <w:type w:val="continuous"/>
        </w:sectPr>
      </w:pPr>
    </w:p>
    <w:p>
      <w:pPr>
        <w:ind w:left="20"/>
        <w:spacing w:after="0"/>
        <w:rPr>
          <w:sz w:val="20"/>
          <w:szCs w:val="20"/>
          <w:color w:val="auto"/>
        </w:rPr>
      </w:pPr>
      <w:r>
        <w:rPr>
          <w:rFonts w:ascii="Arial" w:cs="Arial" w:eastAsia="Arial" w:hAnsi="Arial"/>
          <w:sz w:val="17"/>
          <w:szCs w:val="17"/>
          <w:b w:val="1"/>
          <w:bCs w:val="1"/>
          <w:color w:val="auto"/>
        </w:rPr>
        <w:t>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11:00 AM US ET (10:00 AM Local Time)</w:t>
      </w:r>
    </w:p>
    <w:p>
      <w:pPr>
        <w:spacing w:after="0" w:line="61" w:lineRule="exact"/>
        <w:rPr>
          <w:sz w:val="20"/>
          <w:szCs w:val="20"/>
          <w:color w:val="auto"/>
        </w:rPr>
      </w:pPr>
    </w:p>
    <w:p>
      <w:pPr>
        <w:sectPr>
          <w:pgSz w:w="11900" w:h="16838" w:orient="portrait"/>
          <w:cols w:equalWidth="0" w:num="2">
            <w:col w:w="1880" w:space="720"/>
            <w:col w:w="8640"/>
          </w:cols>
          <w:pgMar w:left="320" w:top="1440" w:right="339" w:bottom="1440" w:gutter="0" w:footer="0" w:header="0"/>
          <w:type w:val="continuous"/>
        </w:sectPr>
      </w:pPr>
    </w:p>
    <w:p>
      <w:pPr>
        <w:ind w:left="20"/>
        <w:spacing w:after="0"/>
        <w:rPr>
          <w:sz w:val="20"/>
          <w:szCs w:val="20"/>
          <w:color w:val="auto"/>
        </w:rPr>
      </w:pPr>
      <w:r>
        <w:rPr>
          <w:rFonts w:ascii="Arial" w:cs="Arial" w:eastAsia="Arial" w:hAnsi="Arial"/>
          <w:sz w:val="17"/>
          <w:szCs w:val="17"/>
          <w:b w:val="1"/>
          <w:bCs w:val="1"/>
          <w:color w:val="auto"/>
        </w:rPr>
        <w:t>Join by 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https://register-conf.media-server.com/register/BI11f5627c03894b02a01637f339decd59</w:t>
      </w:r>
    </w:p>
    <w:p>
      <w:pPr>
        <w:spacing w:after="0" w:line="61" w:lineRule="exact"/>
        <w:rPr>
          <w:sz w:val="20"/>
          <w:szCs w:val="20"/>
          <w:color w:val="auto"/>
        </w:rPr>
      </w:pPr>
    </w:p>
    <w:p>
      <w:pPr>
        <w:sectPr>
          <w:pgSz w:w="11900" w:h="16838" w:orient="portrait"/>
          <w:cols w:equalWidth="0" w:num="2">
            <w:col w:w="1880" w:space="720"/>
            <w:col w:w="8640"/>
          </w:cols>
          <w:pgMar w:left="320" w:top="1440" w:right="33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Webcast (listen-only):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https://ir.copaair.com/events-and-presentations</w:t>
      </w:r>
    </w:p>
    <w:p>
      <w:pPr>
        <w:spacing w:after="0" w:line="211" w:lineRule="exact"/>
        <w:rPr>
          <w:sz w:val="20"/>
          <w:szCs w:val="20"/>
          <w:color w:val="auto"/>
        </w:rPr>
      </w:pPr>
    </w:p>
    <w:p>
      <w:pPr>
        <w:sectPr>
          <w:pgSz w:w="11900" w:h="16838" w:orient="portrait"/>
          <w:cols w:equalWidth="0" w:num="2">
            <w:col w:w="1900" w:space="700"/>
            <w:col w:w="8640"/>
          </w:cols>
          <w:pgMar w:left="320" w:top="1440" w:right="339" w:bottom="1440" w:gutter="0" w:footer="0" w:header="0"/>
          <w:type w:val="continuous"/>
        </w:sectPr>
      </w:pPr>
    </w:p>
    <w:p>
      <w:pPr>
        <w:spacing w:after="0" w:line="7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About Copa Holdings</w:t>
      </w:r>
    </w:p>
    <w:p>
      <w:pPr>
        <w:spacing w:after="0" w:line="19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Copa Holdings is a leading Latin American provider of passenger and cargo services. The Company, through its operating subsidiaries, provides service to countries in North, Central, and South America and the Caribbean. For more information visit: copaair.com.</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rPr>
          <w:sz w:val="20"/>
          <w:szCs w:val="20"/>
          <w:color w:val="auto"/>
        </w:rPr>
      </w:pPr>
      <w:r>
        <w:rPr>
          <w:rFonts w:ascii="Arial" w:cs="Arial" w:eastAsia="Arial" w:hAnsi="Arial"/>
          <w:sz w:val="18"/>
          <w:szCs w:val="18"/>
          <w:color w:val="auto"/>
        </w:rPr>
        <w:t>investor.relations@copaair.com</w:t>
      </w:r>
    </w:p>
    <w:p>
      <w:pPr>
        <w:spacing w:after="0" w:line="32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Cautionary statement regarding forward-looking statements</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release includes “forward-looking statements” within the meaning of the Private Securities Litigation Reform Act of 1995. Such forward-looking statements are based on current plans, estimates, and expectations, and are not guarantees of future performance. They are based on management’s expectations that involve several business risks and uncertainties, any of which could cause actual results to differ materially from those expressed in or implied by the forward-looking statements. The Company undertakes no obligation to update or revise any forward-looking statement. The risks and uncertainties relating to the forward-looking statements in this release are among those disclosed in Copa Holdings’ filed disclosure documents and are, therefore, subject to change without prior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082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440" w:right="339" w:bottom="1440"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5837555" cy="11055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837555" cy="110553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Copa Holdings, S. A.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Operating and Financial Statistics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3260" w:type="dxa"/>
            <w:vAlign w:val="bottom"/>
          </w:tcPr>
          <w:p>
            <w:pPr>
              <w:spacing w:after="0"/>
              <w:rPr>
                <w:sz w:val="17"/>
                <w:szCs w:val="17"/>
                <w:color w:val="auto"/>
              </w:rPr>
            </w:pP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1Q26</w:t>
            </w:r>
          </w:p>
        </w:tc>
        <w:tc>
          <w:tcPr>
            <w:tcW w:w="8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1Q25</w:t>
            </w:r>
          </w:p>
        </w:tc>
        <w:tc>
          <w:tcPr>
            <w:tcW w:w="980" w:type="dxa"/>
            <w:vAlign w:val="bottom"/>
            <w:tcBorders>
              <w:bottom w:val="single" w:sz="8" w:color="auto"/>
            </w:tcBorders>
            <w:gridSpan w:val="2"/>
          </w:tcPr>
          <w:p>
            <w:pPr>
              <w:jc w:val="right"/>
              <w:ind w:right="77"/>
              <w:spacing w:after="0"/>
              <w:rPr>
                <w:sz w:val="20"/>
                <w:szCs w:val="20"/>
                <w:color w:val="auto"/>
              </w:rPr>
            </w:pPr>
            <w:r>
              <w:rPr>
                <w:rFonts w:ascii="Arial" w:cs="Arial" w:eastAsia="Arial" w:hAnsi="Arial"/>
                <w:sz w:val="14"/>
                <w:szCs w:val="14"/>
                <w:b w:val="1"/>
                <w:bCs w:val="1"/>
                <w:color w:val="auto"/>
              </w:rPr>
              <w:t>% Change</w:t>
            </w:r>
          </w:p>
        </w:tc>
        <w:tc>
          <w:tcPr>
            <w:tcW w:w="10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4Q25</w:t>
            </w:r>
          </w:p>
        </w:tc>
        <w:tc>
          <w:tcPr>
            <w:tcW w:w="980" w:type="dxa"/>
            <w:vAlign w:val="bottom"/>
            <w:tcBorders>
              <w:bottom w:val="single" w:sz="8" w:color="auto"/>
            </w:tcBorders>
            <w:gridSpan w:val="2"/>
          </w:tcPr>
          <w:p>
            <w:pPr>
              <w:jc w:val="right"/>
              <w:ind w:right="77"/>
              <w:spacing w:after="0"/>
              <w:rPr>
                <w:sz w:val="20"/>
                <w:szCs w:val="20"/>
                <w:color w:val="auto"/>
              </w:rPr>
            </w:pPr>
            <w:r>
              <w:rPr>
                <w:rFonts w:ascii="Arial" w:cs="Arial" w:eastAsia="Arial" w:hAnsi="Arial"/>
                <w:sz w:val="14"/>
                <w:szCs w:val="14"/>
                <w:b w:val="1"/>
                <w:bCs w:val="1"/>
                <w:color w:val="auto"/>
              </w:rPr>
              <w:t>% Change</w:t>
            </w:r>
          </w:p>
        </w:tc>
      </w:tr>
      <w:tr>
        <w:trPr>
          <w:trHeight w:val="177"/>
        </w:trPr>
        <w:tc>
          <w:tcPr>
            <w:tcW w:w="3260" w:type="dxa"/>
            <w:vAlign w:val="bottom"/>
          </w:tcPr>
          <w:p>
            <w:pPr>
              <w:spacing w:after="0"/>
              <w:rPr>
                <w:sz w:val="20"/>
                <w:szCs w:val="20"/>
                <w:color w:val="auto"/>
              </w:rPr>
            </w:pPr>
            <w:r>
              <w:rPr>
                <w:rFonts w:ascii="Arial" w:cs="Arial" w:eastAsia="Arial" w:hAnsi="Arial"/>
                <w:sz w:val="14"/>
                <w:szCs w:val="14"/>
                <w:color w:val="auto"/>
              </w:rPr>
              <w:t>Revenue Passengers Carried (000s)</w:t>
            </w:r>
          </w:p>
        </w:tc>
        <w:tc>
          <w:tcPr>
            <w:tcW w:w="1140" w:type="dxa"/>
            <w:vAlign w:val="bottom"/>
          </w:tcPr>
          <w:p>
            <w:pPr>
              <w:jc w:val="right"/>
              <w:ind w:right="257"/>
              <w:spacing w:after="0"/>
              <w:rPr>
                <w:sz w:val="20"/>
                <w:szCs w:val="20"/>
                <w:color w:val="auto"/>
              </w:rPr>
            </w:pPr>
            <w:r>
              <w:rPr>
                <w:rFonts w:ascii="Arial" w:cs="Arial" w:eastAsia="Arial" w:hAnsi="Arial"/>
                <w:sz w:val="13"/>
                <w:szCs w:val="13"/>
                <w:color w:val="auto"/>
              </w:rPr>
              <w:t>4,096</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3,512</w:t>
            </w: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16.6</w:t>
            </w: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6"/>
              </w:rPr>
              <w:t>%</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3,935</w:t>
            </w:r>
          </w:p>
        </w:tc>
        <w:tc>
          <w:tcPr>
            <w:tcW w:w="8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4.1</w:t>
            </w:r>
          </w:p>
        </w:tc>
        <w:tc>
          <w:tcPr>
            <w:tcW w:w="12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6"/>
              </w:rPr>
              <w:t>%</w:t>
            </w:r>
          </w:p>
        </w:tc>
      </w:tr>
      <w:tr>
        <w:trPr>
          <w:trHeight w:val="203"/>
        </w:trPr>
        <w:tc>
          <w:tcPr>
            <w:tcW w:w="3260" w:type="dxa"/>
            <w:vAlign w:val="bottom"/>
          </w:tcPr>
          <w:p>
            <w:pPr>
              <w:spacing w:after="0"/>
              <w:rPr>
                <w:sz w:val="20"/>
                <w:szCs w:val="20"/>
                <w:color w:val="auto"/>
              </w:rPr>
            </w:pPr>
            <w:r>
              <w:rPr>
                <w:rFonts w:ascii="Arial" w:cs="Arial" w:eastAsia="Arial" w:hAnsi="Arial"/>
                <w:sz w:val="14"/>
                <w:szCs w:val="14"/>
                <w:color w:val="auto"/>
              </w:rPr>
              <w:t>Revenue Passengers OnBoard (000s)</w:t>
            </w:r>
          </w:p>
        </w:tc>
        <w:tc>
          <w:tcPr>
            <w:tcW w:w="1140" w:type="dxa"/>
            <w:vAlign w:val="bottom"/>
          </w:tcPr>
          <w:p>
            <w:pPr>
              <w:jc w:val="right"/>
              <w:ind w:right="257"/>
              <w:spacing w:after="0"/>
              <w:rPr>
                <w:sz w:val="20"/>
                <w:szCs w:val="20"/>
                <w:color w:val="auto"/>
              </w:rPr>
            </w:pPr>
            <w:r>
              <w:rPr>
                <w:rFonts w:ascii="Arial" w:cs="Arial" w:eastAsia="Arial" w:hAnsi="Arial"/>
                <w:sz w:val="13"/>
                <w:szCs w:val="13"/>
                <w:color w:val="auto"/>
              </w:rPr>
              <w:t>6,007</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5,208</w:t>
            </w: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15.3</w:t>
            </w: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6"/>
              </w:rPr>
              <w:t>%</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5,834</w:t>
            </w:r>
          </w:p>
        </w:tc>
        <w:tc>
          <w:tcPr>
            <w:tcW w:w="8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3.0</w:t>
            </w:r>
          </w:p>
        </w:tc>
        <w:tc>
          <w:tcPr>
            <w:tcW w:w="12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6"/>
              </w:rPr>
              <w:t>%</w:t>
            </w:r>
          </w:p>
        </w:tc>
      </w:tr>
      <w:tr>
        <w:trPr>
          <w:trHeight w:val="203"/>
        </w:trPr>
        <w:tc>
          <w:tcPr>
            <w:tcW w:w="3260" w:type="dxa"/>
            <w:vAlign w:val="bottom"/>
          </w:tcPr>
          <w:p>
            <w:pPr>
              <w:spacing w:after="0"/>
              <w:rPr>
                <w:sz w:val="20"/>
                <w:szCs w:val="20"/>
                <w:color w:val="auto"/>
              </w:rPr>
            </w:pPr>
            <w:r>
              <w:rPr>
                <w:rFonts w:ascii="Arial" w:cs="Arial" w:eastAsia="Arial" w:hAnsi="Arial"/>
                <w:sz w:val="14"/>
                <w:szCs w:val="14"/>
                <w:color w:val="auto"/>
              </w:rPr>
              <w:t>RPMs (millions)</w:t>
            </w:r>
          </w:p>
        </w:tc>
        <w:tc>
          <w:tcPr>
            <w:tcW w:w="1140" w:type="dxa"/>
            <w:vAlign w:val="bottom"/>
          </w:tcPr>
          <w:p>
            <w:pPr>
              <w:jc w:val="right"/>
              <w:ind w:right="257"/>
              <w:spacing w:after="0"/>
              <w:rPr>
                <w:sz w:val="20"/>
                <w:szCs w:val="20"/>
                <w:color w:val="auto"/>
              </w:rPr>
            </w:pPr>
            <w:r>
              <w:rPr>
                <w:rFonts w:ascii="Arial" w:cs="Arial" w:eastAsia="Arial" w:hAnsi="Arial"/>
                <w:sz w:val="13"/>
                <w:szCs w:val="13"/>
                <w:color w:val="auto"/>
              </w:rPr>
              <w:t>7,755</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6,743</w:t>
            </w: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15.0</w:t>
            </w: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6"/>
              </w:rPr>
              <w:t>%</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7,359</w:t>
            </w:r>
          </w:p>
        </w:tc>
        <w:tc>
          <w:tcPr>
            <w:tcW w:w="8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5.4</w:t>
            </w:r>
          </w:p>
        </w:tc>
        <w:tc>
          <w:tcPr>
            <w:tcW w:w="12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6"/>
              </w:rPr>
              <w:t>%</w:t>
            </w:r>
          </w:p>
        </w:tc>
      </w:tr>
      <w:tr>
        <w:trPr>
          <w:trHeight w:val="203"/>
        </w:trPr>
        <w:tc>
          <w:tcPr>
            <w:tcW w:w="3260" w:type="dxa"/>
            <w:vAlign w:val="bottom"/>
          </w:tcPr>
          <w:p>
            <w:pPr>
              <w:spacing w:after="0"/>
              <w:rPr>
                <w:sz w:val="20"/>
                <w:szCs w:val="20"/>
                <w:color w:val="auto"/>
              </w:rPr>
            </w:pPr>
            <w:r>
              <w:rPr>
                <w:rFonts w:ascii="Arial" w:cs="Arial" w:eastAsia="Arial" w:hAnsi="Arial"/>
                <w:sz w:val="14"/>
                <w:szCs w:val="14"/>
                <w:color w:val="auto"/>
              </w:rPr>
              <w:t>ASMs (millions)</w:t>
            </w:r>
          </w:p>
        </w:tc>
        <w:tc>
          <w:tcPr>
            <w:tcW w:w="1140" w:type="dxa"/>
            <w:vAlign w:val="bottom"/>
          </w:tcPr>
          <w:p>
            <w:pPr>
              <w:jc w:val="right"/>
              <w:ind w:right="257"/>
              <w:spacing w:after="0"/>
              <w:rPr>
                <w:sz w:val="20"/>
                <w:szCs w:val="20"/>
                <w:color w:val="auto"/>
              </w:rPr>
            </w:pPr>
            <w:r>
              <w:rPr>
                <w:rFonts w:ascii="Arial" w:cs="Arial" w:eastAsia="Arial" w:hAnsi="Arial"/>
                <w:sz w:val="13"/>
                <w:szCs w:val="13"/>
                <w:color w:val="auto"/>
              </w:rPr>
              <w:t>8,892</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7,801</w:t>
            </w: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14.0</w:t>
            </w: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6"/>
              </w:rPr>
              <w:t>%</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8,513</w:t>
            </w:r>
          </w:p>
        </w:tc>
        <w:tc>
          <w:tcPr>
            <w:tcW w:w="8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4.5</w:t>
            </w:r>
          </w:p>
        </w:tc>
        <w:tc>
          <w:tcPr>
            <w:tcW w:w="12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6"/>
              </w:rPr>
              <w:t>%</w:t>
            </w:r>
          </w:p>
        </w:tc>
      </w:tr>
      <w:tr>
        <w:trPr>
          <w:trHeight w:val="216"/>
        </w:trPr>
        <w:tc>
          <w:tcPr>
            <w:tcW w:w="3260" w:type="dxa"/>
            <w:vAlign w:val="bottom"/>
          </w:tcPr>
          <w:p>
            <w:pPr>
              <w:spacing w:after="0"/>
              <w:rPr>
                <w:sz w:val="20"/>
                <w:szCs w:val="20"/>
                <w:color w:val="auto"/>
              </w:rPr>
            </w:pPr>
            <w:r>
              <w:rPr>
                <w:rFonts w:ascii="Arial" w:cs="Arial" w:eastAsia="Arial" w:hAnsi="Arial"/>
                <w:sz w:val="14"/>
                <w:szCs w:val="14"/>
                <w:color w:val="auto"/>
              </w:rPr>
              <w:t>Load Factor</w:t>
            </w:r>
          </w:p>
        </w:tc>
        <w:tc>
          <w:tcPr>
            <w:tcW w:w="1140" w:type="dxa"/>
            <w:vAlign w:val="bottom"/>
          </w:tcPr>
          <w:p>
            <w:pPr>
              <w:jc w:val="right"/>
              <w:ind w:right="97"/>
              <w:spacing w:after="0"/>
              <w:rPr>
                <w:sz w:val="20"/>
                <w:szCs w:val="20"/>
                <w:color w:val="auto"/>
              </w:rPr>
            </w:pPr>
            <w:r>
              <w:rPr>
                <w:rFonts w:ascii="Arial" w:cs="Arial" w:eastAsia="Arial" w:hAnsi="Arial"/>
                <w:sz w:val="13"/>
                <w:szCs w:val="13"/>
                <w:color w:val="auto"/>
              </w:rPr>
              <w:t>87.2 %</w:t>
            </w:r>
          </w:p>
        </w:tc>
        <w:tc>
          <w:tcPr>
            <w:tcW w:w="840" w:type="dxa"/>
            <w:vAlign w:val="bottom"/>
          </w:tcPr>
          <w:p>
            <w:pPr>
              <w:jc w:val="right"/>
              <w:spacing w:after="0"/>
              <w:rPr>
                <w:sz w:val="20"/>
                <w:szCs w:val="20"/>
                <w:color w:val="auto"/>
              </w:rPr>
            </w:pPr>
            <w:r>
              <w:rPr>
                <w:rFonts w:ascii="Arial" w:cs="Arial" w:eastAsia="Arial" w:hAnsi="Arial"/>
                <w:sz w:val="13"/>
                <w:szCs w:val="13"/>
                <w:color w:val="auto"/>
              </w:rPr>
              <w:t>86.4 %</w:t>
            </w:r>
          </w:p>
        </w:tc>
        <w:tc>
          <w:tcPr>
            <w:tcW w:w="98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0.8 p.p</w:t>
            </w:r>
          </w:p>
        </w:tc>
        <w:tc>
          <w:tcPr>
            <w:tcW w:w="1000" w:type="dxa"/>
            <w:vAlign w:val="bottom"/>
          </w:tcPr>
          <w:p>
            <w:pPr>
              <w:jc w:val="right"/>
              <w:spacing w:after="0"/>
              <w:rPr>
                <w:sz w:val="20"/>
                <w:szCs w:val="20"/>
                <w:color w:val="auto"/>
              </w:rPr>
            </w:pPr>
            <w:r>
              <w:rPr>
                <w:rFonts w:ascii="Arial" w:cs="Arial" w:eastAsia="Arial" w:hAnsi="Arial"/>
                <w:sz w:val="13"/>
                <w:szCs w:val="13"/>
                <w:color w:val="auto"/>
              </w:rPr>
              <w:t>86.4 %</w:t>
            </w:r>
          </w:p>
        </w:tc>
        <w:tc>
          <w:tcPr>
            <w:tcW w:w="98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0.8 p.p</w:t>
            </w:r>
          </w:p>
        </w:tc>
      </w:tr>
      <w:tr>
        <w:trPr>
          <w:trHeight w:val="224"/>
        </w:trPr>
        <w:tc>
          <w:tcPr>
            <w:tcW w:w="3260" w:type="dxa"/>
            <w:vAlign w:val="bottom"/>
          </w:tcPr>
          <w:p>
            <w:pPr>
              <w:spacing w:after="0"/>
              <w:rPr>
                <w:sz w:val="20"/>
                <w:szCs w:val="20"/>
                <w:color w:val="auto"/>
              </w:rPr>
            </w:pPr>
            <w:r>
              <w:rPr>
                <w:rFonts w:ascii="Arial" w:cs="Arial" w:eastAsia="Arial" w:hAnsi="Arial"/>
                <w:sz w:val="14"/>
                <w:szCs w:val="14"/>
                <w:color w:val="auto"/>
              </w:rPr>
              <w:t>Yield (US$ Cents)</w:t>
            </w:r>
          </w:p>
        </w:tc>
        <w:tc>
          <w:tcPr>
            <w:tcW w:w="1140" w:type="dxa"/>
            <w:vAlign w:val="bottom"/>
          </w:tcPr>
          <w:p>
            <w:pPr>
              <w:jc w:val="right"/>
              <w:ind w:right="257"/>
              <w:spacing w:after="0"/>
              <w:rPr>
                <w:sz w:val="20"/>
                <w:szCs w:val="20"/>
                <w:color w:val="auto"/>
              </w:rPr>
            </w:pPr>
            <w:r>
              <w:rPr>
                <w:rFonts w:ascii="Arial" w:cs="Arial" w:eastAsia="Arial" w:hAnsi="Arial"/>
                <w:sz w:val="13"/>
                <w:szCs w:val="13"/>
                <w:color w:val="auto"/>
              </w:rPr>
              <w:t>12.9</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12.7</w:t>
            </w: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w:t>
            </w: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6"/>
              </w:rPr>
              <w:t>%</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12.4</w:t>
            </w:r>
          </w:p>
        </w:tc>
        <w:tc>
          <w:tcPr>
            <w:tcW w:w="8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4.3</w:t>
            </w:r>
          </w:p>
        </w:tc>
        <w:tc>
          <w:tcPr>
            <w:tcW w:w="12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6"/>
              </w:rPr>
              <w:t>%</w:t>
            </w:r>
          </w:p>
        </w:tc>
      </w:tr>
      <w:tr>
        <w:trPr>
          <w:trHeight w:val="208"/>
        </w:trPr>
        <w:tc>
          <w:tcPr>
            <w:tcW w:w="3260" w:type="dxa"/>
            <w:vAlign w:val="bottom"/>
          </w:tcPr>
          <w:p>
            <w:pPr>
              <w:spacing w:after="0"/>
              <w:rPr>
                <w:sz w:val="20"/>
                <w:szCs w:val="20"/>
                <w:color w:val="auto"/>
              </w:rPr>
            </w:pPr>
            <w:r>
              <w:rPr>
                <w:rFonts w:ascii="Arial" w:cs="Arial" w:eastAsia="Arial" w:hAnsi="Arial"/>
                <w:sz w:val="14"/>
                <w:szCs w:val="14"/>
                <w:color w:val="auto"/>
              </w:rPr>
              <w:t>PRASM (US$ Cents)</w:t>
            </w:r>
          </w:p>
        </w:tc>
        <w:tc>
          <w:tcPr>
            <w:tcW w:w="1140" w:type="dxa"/>
            <w:vAlign w:val="bottom"/>
          </w:tcPr>
          <w:p>
            <w:pPr>
              <w:jc w:val="right"/>
              <w:ind w:right="257"/>
              <w:spacing w:after="0"/>
              <w:rPr>
                <w:sz w:val="20"/>
                <w:szCs w:val="20"/>
                <w:color w:val="auto"/>
              </w:rPr>
            </w:pPr>
            <w:r>
              <w:rPr>
                <w:rFonts w:ascii="Arial" w:cs="Arial" w:eastAsia="Arial" w:hAnsi="Arial"/>
                <w:sz w:val="13"/>
                <w:szCs w:val="13"/>
                <w:color w:val="auto"/>
              </w:rPr>
              <w:t>11.3</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11.0</w:t>
            </w:r>
          </w:p>
        </w:tc>
        <w:tc>
          <w:tcPr>
            <w:tcW w:w="840" w:type="dxa"/>
            <w:vAlign w:val="bottom"/>
          </w:tcPr>
          <w:p>
            <w:pPr>
              <w:jc w:val="right"/>
              <w:spacing w:after="0"/>
              <w:rPr>
                <w:sz w:val="20"/>
                <w:szCs w:val="20"/>
                <w:color w:val="auto"/>
              </w:rPr>
            </w:pPr>
            <w:r>
              <w:rPr>
                <w:rFonts w:ascii="Arial" w:cs="Arial" w:eastAsia="Arial" w:hAnsi="Arial"/>
                <w:sz w:val="13"/>
                <w:szCs w:val="13"/>
                <w:color w:val="auto"/>
              </w:rPr>
              <w:t>2.6</w:t>
            </w:r>
          </w:p>
        </w:tc>
        <w:tc>
          <w:tcPr>
            <w:tcW w:w="14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10.7</w:t>
            </w:r>
          </w:p>
        </w:tc>
        <w:tc>
          <w:tcPr>
            <w:tcW w:w="860" w:type="dxa"/>
            <w:vAlign w:val="bottom"/>
          </w:tcPr>
          <w:p>
            <w:pPr>
              <w:jc w:val="right"/>
              <w:spacing w:after="0"/>
              <w:rPr>
                <w:sz w:val="20"/>
                <w:szCs w:val="20"/>
                <w:color w:val="auto"/>
              </w:rPr>
            </w:pPr>
            <w:r>
              <w:rPr>
                <w:rFonts w:ascii="Arial" w:cs="Arial" w:eastAsia="Arial" w:hAnsi="Arial"/>
                <w:sz w:val="13"/>
                <w:szCs w:val="13"/>
                <w:color w:val="auto"/>
              </w:rPr>
              <w:t>5.2</w:t>
            </w:r>
          </w:p>
        </w:tc>
        <w:tc>
          <w:tcPr>
            <w:tcW w:w="120" w:type="dxa"/>
            <w:vAlign w:val="bottom"/>
          </w:tcPr>
          <w:p>
            <w:pPr>
              <w:jc w:val="right"/>
              <w:spacing w:after="0"/>
              <w:rPr>
                <w:sz w:val="20"/>
                <w:szCs w:val="20"/>
                <w:color w:val="auto"/>
              </w:rPr>
            </w:pPr>
            <w:r>
              <w:rPr>
                <w:rFonts w:ascii="Arial" w:cs="Arial" w:eastAsia="Arial" w:hAnsi="Arial"/>
                <w:sz w:val="13"/>
                <w:szCs w:val="13"/>
                <w:color w:val="auto"/>
                <w:w w:val="86"/>
              </w:rPr>
              <w:t>%</w:t>
            </w:r>
          </w:p>
        </w:tc>
      </w:tr>
      <w:tr>
        <w:trPr>
          <w:trHeight w:val="203"/>
        </w:trPr>
        <w:tc>
          <w:tcPr>
            <w:tcW w:w="3260" w:type="dxa"/>
            <w:vAlign w:val="bottom"/>
          </w:tcPr>
          <w:p>
            <w:pPr>
              <w:spacing w:after="0"/>
              <w:rPr>
                <w:sz w:val="20"/>
                <w:szCs w:val="20"/>
                <w:color w:val="auto"/>
              </w:rPr>
            </w:pPr>
            <w:r>
              <w:rPr>
                <w:rFonts w:ascii="Arial" w:cs="Arial" w:eastAsia="Arial" w:hAnsi="Arial"/>
                <w:sz w:val="14"/>
                <w:szCs w:val="14"/>
                <w:color w:val="auto"/>
              </w:rPr>
              <w:t>RASM (US$ Cents)</w:t>
            </w:r>
          </w:p>
        </w:tc>
        <w:tc>
          <w:tcPr>
            <w:tcW w:w="1140" w:type="dxa"/>
            <w:vAlign w:val="bottom"/>
          </w:tcPr>
          <w:p>
            <w:pPr>
              <w:jc w:val="right"/>
              <w:ind w:right="257"/>
              <w:spacing w:after="0"/>
              <w:rPr>
                <w:sz w:val="20"/>
                <w:szCs w:val="20"/>
                <w:color w:val="auto"/>
              </w:rPr>
            </w:pPr>
            <w:r>
              <w:rPr>
                <w:rFonts w:ascii="Arial" w:cs="Arial" w:eastAsia="Arial" w:hAnsi="Arial"/>
                <w:sz w:val="13"/>
                <w:szCs w:val="13"/>
                <w:color w:val="auto"/>
              </w:rPr>
              <w:t>11.8</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11.5</w:t>
            </w:r>
          </w:p>
        </w:tc>
        <w:tc>
          <w:tcPr>
            <w:tcW w:w="840" w:type="dxa"/>
            <w:vAlign w:val="bottom"/>
          </w:tcPr>
          <w:p>
            <w:pPr>
              <w:jc w:val="right"/>
              <w:spacing w:after="0"/>
              <w:rPr>
                <w:sz w:val="20"/>
                <w:szCs w:val="20"/>
                <w:color w:val="auto"/>
              </w:rPr>
            </w:pPr>
            <w:r>
              <w:rPr>
                <w:rFonts w:ascii="Arial" w:cs="Arial" w:eastAsia="Arial" w:hAnsi="Arial"/>
                <w:sz w:val="13"/>
                <w:szCs w:val="13"/>
                <w:color w:val="auto"/>
              </w:rPr>
              <w:t>2.7</w:t>
            </w:r>
          </w:p>
        </w:tc>
        <w:tc>
          <w:tcPr>
            <w:tcW w:w="14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11.3</w:t>
            </w:r>
          </w:p>
        </w:tc>
        <w:tc>
          <w:tcPr>
            <w:tcW w:w="860" w:type="dxa"/>
            <w:vAlign w:val="bottom"/>
          </w:tcPr>
          <w:p>
            <w:pPr>
              <w:jc w:val="right"/>
              <w:spacing w:after="0"/>
              <w:rPr>
                <w:sz w:val="20"/>
                <w:szCs w:val="20"/>
                <w:color w:val="auto"/>
              </w:rPr>
            </w:pPr>
            <w:r>
              <w:rPr>
                <w:rFonts w:ascii="Arial" w:cs="Arial" w:eastAsia="Arial" w:hAnsi="Arial"/>
                <w:sz w:val="13"/>
                <w:szCs w:val="13"/>
                <w:color w:val="auto"/>
              </w:rPr>
              <w:t>4.6</w:t>
            </w:r>
          </w:p>
        </w:tc>
        <w:tc>
          <w:tcPr>
            <w:tcW w:w="120" w:type="dxa"/>
            <w:vAlign w:val="bottom"/>
          </w:tcPr>
          <w:p>
            <w:pPr>
              <w:jc w:val="right"/>
              <w:spacing w:after="0"/>
              <w:rPr>
                <w:sz w:val="20"/>
                <w:szCs w:val="20"/>
                <w:color w:val="auto"/>
              </w:rPr>
            </w:pPr>
            <w:r>
              <w:rPr>
                <w:rFonts w:ascii="Arial" w:cs="Arial" w:eastAsia="Arial" w:hAnsi="Arial"/>
                <w:sz w:val="13"/>
                <w:szCs w:val="13"/>
                <w:color w:val="auto"/>
                <w:w w:val="86"/>
              </w:rPr>
              <w:t>%</w:t>
            </w:r>
          </w:p>
        </w:tc>
      </w:tr>
      <w:tr>
        <w:trPr>
          <w:trHeight w:val="203"/>
        </w:trPr>
        <w:tc>
          <w:tcPr>
            <w:tcW w:w="3260" w:type="dxa"/>
            <w:vAlign w:val="bottom"/>
          </w:tcPr>
          <w:p>
            <w:pPr>
              <w:spacing w:after="0"/>
              <w:rPr>
                <w:sz w:val="20"/>
                <w:szCs w:val="20"/>
                <w:color w:val="auto"/>
              </w:rPr>
            </w:pPr>
            <w:r>
              <w:rPr>
                <w:rFonts w:ascii="Arial" w:cs="Arial" w:eastAsia="Arial" w:hAnsi="Arial"/>
                <w:sz w:val="14"/>
                <w:szCs w:val="14"/>
                <w:color w:val="auto"/>
              </w:rPr>
              <w:t>CASM (US$ Cents)</w:t>
            </w:r>
          </w:p>
        </w:tc>
        <w:tc>
          <w:tcPr>
            <w:tcW w:w="1140" w:type="dxa"/>
            <w:vAlign w:val="bottom"/>
          </w:tcPr>
          <w:p>
            <w:pPr>
              <w:jc w:val="right"/>
              <w:ind w:right="257"/>
              <w:spacing w:after="0"/>
              <w:rPr>
                <w:sz w:val="20"/>
                <w:szCs w:val="20"/>
                <w:color w:val="auto"/>
              </w:rPr>
            </w:pPr>
            <w:r>
              <w:rPr>
                <w:rFonts w:ascii="Arial" w:cs="Arial" w:eastAsia="Arial" w:hAnsi="Arial"/>
                <w:sz w:val="13"/>
                <w:szCs w:val="13"/>
                <w:color w:val="auto"/>
              </w:rPr>
              <w:t>8.9</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8.8</w:t>
            </w:r>
          </w:p>
        </w:tc>
        <w:tc>
          <w:tcPr>
            <w:tcW w:w="840" w:type="dxa"/>
            <w:vAlign w:val="bottom"/>
          </w:tcPr>
          <w:p>
            <w:pPr>
              <w:jc w:val="right"/>
              <w:spacing w:after="0"/>
              <w:rPr>
                <w:sz w:val="20"/>
                <w:szCs w:val="20"/>
                <w:color w:val="auto"/>
              </w:rPr>
            </w:pPr>
            <w:r>
              <w:rPr>
                <w:rFonts w:ascii="Arial" w:cs="Arial" w:eastAsia="Arial" w:hAnsi="Arial"/>
                <w:sz w:val="13"/>
                <w:szCs w:val="13"/>
                <w:color w:val="auto"/>
              </w:rPr>
              <w:t>1.6</w:t>
            </w:r>
          </w:p>
        </w:tc>
        <w:tc>
          <w:tcPr>
            <w:tcW w:w="14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8.8</w:t>
            </w:r>
          </w:p>
        </w:tc>
        <w:tc>
          <w:tcPr>
            <w:tcW w:w="860" w:type="dxa"/>
            <w:vAlign w:val="bottom"/>
          </w:tcPr>
          <w:p>
            <w:pPr>
              <w:jc w:val="right"/>
              <w:spacing w:after="0"/>
              <w:rPr>
                <w:sz w:val="20"/>
                <w:szCs w:val="20"/>
                <w:color w:val="auto"/>
              </w:rPr>
            </w:pPr>
            <w:r>
              <w:rPr>
                <w:rFonts w:ascii="Arial" w:cs="Arial" w:eastAsia="Arial" w:hAnsi="Arial"/>
                <w:sz w:val="13"/>
                <w:szCs w:val="13"/>
                <w:color w:val="auto"/>
              </w:rPr>
              <w:t>0.9</w:t>
            </w:r>
          </w:p>
        </w:tc>
        <w:tc>
          <w:tcPr>
            <w:tcW w:w="120" w:type="dxa"/>
            <w:vAlign w:val="bottom"/>
          </w:tcPr>
          <w:p>
            <w:pPr>
              <w:jc w:val="right"/>
              <w:spacing w:after="0"/>
              <w:rPr>
                <w:sz w:val="20"/>
                <w:szCs w:val="20"/>
                <w:color w:val="auto"/>
              </w:rPr>
            </w:pPr>
            <w:r>
              <w:rPr>
                <w:rFonts w:ascii="Arial" w:cs="Arial" w:eastAsia="Arial" w:hAnsi="Arial"/>
                <w:sz w:val="13"/>
                <w:szCs w:val="13"/>
                <w:color w:val="auto"/>
                <w:w w:val="86"/>
              </w:rPr>
              <w:t>%</w:t>
            </w:r>
          </w:p>
        </w:tc>
      </w:tr>
      <w:tr>
        <w:trPr>
          <w:trHeight w:val="216"/>
        </w:trPr>
        <w:tc>
          <w:tcPr>
            <w:tcW w:w="3260" w:type="dxa"/>
            <w:vAlign w:val="bottom"/>
          </w:tcPr>
          <w:p>
            <w:pPr>
              <w:spacing w:after="0"/>
              <w:rPr>
                <w:sz w:val="20"/>
                <w:szCs w:val="20"/>
                <w:color w:val="auto"/>
              </w:rPr>
            </w:pPr>
            <w:r>
              <w:rPr>
                <w:rFonts w:ascii="Arial" w:cs="Arial" w:eastAsia="Arial" w:hAnsi="Arial"/>
                <w:sz w:val="14"/>
                <w:szCs w:val="14"/>
                <w:color w:val="auto"/>
              </w:rPr>
              <w:t>CASM Excl. Fuel (US$ Cents)</w:t>
            </w:r>
          </w:p>
        </w:tc>
        <w:tc>
          <w:tcPr>
            <w:tcW w:w="1140" w:type="dxa"/>
            <w:vAlign w:val="bottom"/>
          </w:tcPr>
          <w:p>
            <w:pPr>
              <w:jc w:val="right"/>
              <w:ind w:right="257"/>
              <w:spacing w:after="0"/>
              <w:rPr>
                <w:sz w:val="20"/>
                <w:szCs w:val="20"/>
                <w:color w:val="auto"/>
              </w:rPr>
            </w:pPr>
            <w:r>
              <w:rPr>
                <w:rFonts w:ascii="Arial" w:cs="Arial" w:eastAsia="Arial" w:hAnsi="Arial"/>
                <w:sz w:val="13"/>
                <w:szCs w:val="13"/>
                <w:color w:val="auto"/>
              </w:rPr>
              <w:t>5.8</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5.8</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5.9</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(2.9)%</w:t>
            </w:r>
          </w:p>
        </w:tc>
      </w:tr>
      <w:tr>
        <w:trPr>
          <w:trHeight w:val="203"/>
        </w:trPr>
        <w:tc>
          <w:tcPr>
            <w:tcW w:w="3260" w:type="dxa"/>
            <w:vAlign w:val="bottom"/>
          </w:tcPr>
          <w:p>
            <w:pPr>
              <w:spacing w:after="0"/>
              <w:rPr>
                <w:sz w:val="20"/>
                <w:szCs w:val="20"/>
                <w:color w:val="auto"/>
              </w:rPr>
            </w:pPr>
            <w:r>
              <w:rPr>
                <w:rFonts w:ascii="Arial" w:cs="Arial" w:eastAsia="Arial" w:hAnsi="Arial"/>
                <w:sz w:val="14"/>
                <w:szCs w:val="14"/>
                <w:color w:val="auto"/>
              </w:rPr>
              <w:t>Fuel Gallons Consumed (millions)</w:t>
            </w:r>
          </w:p>
        </w:tc>
        <w:tc>
          <w:tcPr>
            <w:tcW w:w="1140" w:type="dxa"/>
            <w:vAlign w:val="bottom"/>
          </w:tcPr>
          <w:p>
            <w:pPr>
              <w:jc w:val="right"/>
              <w:ind w:right="257"/>
              <w:spacing w:after="0"/>
              <w:rPr>
                <w:sz w:val="20"/>
                <w:szCs w:val="20"/>
                <w:color w:val="auto"/>
              </w:rPr>
            </w:pPr>
            <w:r>
              <w:rPr>
                <w:rFonts w:ascii="Arial" w:cs="Arial" w:eastAsia="Arial" w:hAnsi="Arial"/>
                <w:sz w:val="13"/>
                <w:szCs w:val="13"/>
                <w:color w:val="auto"/>
              </w:rPr>
              <w:t>102.7</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91.0</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12.9 %</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98.6</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4.1 %</w:t>
            </w:r>
          </w:p>
        </w:tc>
      </w:tr>
      <w:tr>
        <w:trPr>
          <w:trHeight w:val="203"/>
        </w:trPr>
        <w:tc>
          <w:tcPr>
            <w:tcW w:w="3260" w:type="dxa"/>
            <w:vAlign w:val="bottom"/>
          </w:tcPr>
          <w:p>
            <w:pPr>
              <w:spacing w:after="0"/>
              <w:rPr>
                <w:sz w:val="20"/>
                <w:szCs w:val="20"/>
                <w:color w:val="auto"/>
              </w:rPr>
            </w:pPr>
            <w:r>
              <w:rPr>
                <w:rFonts w:ascii="Arial" w:cs="Arial" w:eastAsia="Arial" w:hAnsi="Arial"/>
                <w:sz w:val="14"/>
                <w:szCs w:val="14"/>
                <w:color w:val="auto"/>
              </w:rPr>
              <w:t>Avg. Price Per Fuel Gallon (US$)</w:t>
            </w:r>
          </w:p>
        </w:tc>
        <w:tc>
          <w:tcPr>
            <w:tcW w:w="1140" w:type="dxa"/>
            <w:vAlign w:val="bottom"/>
          </w:tcPr>
          <w:p>
            <w:pPr>
              <w:jc w:val="right"/>
              <w:ind w:right="257"/>
              <w:spacing w:after="0"/>
              <w:rPr>
                <w:sz w:val="20"/>
                <w:szCs w:val="20"/>
                <w:color w:val="auto"/>
              </w:rPr>
            </w:pPr>
            <w:r>
              <w:rPr>
                <w:rFonts w:ascii="Arial" w:cs="Arial" w:eastAsia="Arial" w:hAnsi="Arial"/>
                <w:sz w:val="13"/>
                <w:szCs w:val="13"/>
                <w:color w:val="auto"/>
              </w:rPr>
              <w:t>2.73</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2.54</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7.5 %</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2.50</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9.2 %</w:t>
            </w:r>
          </w:p>
        </w:tc>
      </w:tr>
      <w:tr>
        <w:trPr>
          <w:trHeight w:val="216"/>
        </w:trPr>
        <w:tc>
          <w:tcPr>
            <w:tcW w:w="3260" w:type="dxa"/>
            <w:vAlign w:val="bottom"/>
          </w:tcPr>
          <w:p>
            <w:pPr>
              <w:spacing w:after="0"/>
              <w:rPr>
                <w:sz w:val="20"/>
                <w:szCs w:val="20"/>
                <w:color w:val="auto"/>
              </w:rPr>
            </w:pPr>
            <w:r>
              <w:rPr>
                <w:rFonts w:ascii="Arial" w:cs="Arial" w:eastAsia="Arial" w:hAnsi="Arial"/>
                <w:sz w:val="14"/>
                <w:szCs w:val="14"/>
                <w:color w:val="auto"/>
              </w:rPr>
              <w:t>Average Length of Haul (miles)</w:t>
            </w:r>
          </w:p>
        </w:tc>
        <w:tc>
          <w:tcPr>
            <w:tcW w:w="1140" w:type="dxa"/>
            <w:vAlign w:val="bottom"/>
          </w:tcPr>
          <w:p>
            <w:pPr>
              <w:jc w:val="right"/>
              <w:ind w:right="257"/>
              <w:spacing w:after="0"/>
              <w:rPr>
                <w:sz w:val="20"/>
                <w:szCs w:val="20"/>
                <w:color w:val="auto"/>
              </w:rPr>
            </w:pPr>
            <w:r>
              <w:rPr>
                <w:rFonts w:ascii="Arial" w:cs="Arial" w:eastAsia="Arial" w:hAnsi="Arial"/>
                <w:sz w:val="13"/>
                <w:szCs w:val="13"/>
                <w:color w:val="auto"/>
              </w:rPr>
              <w:t>1,893</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1,920</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1,870</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1.2 %</w:t>
            </w:r>
          </w:p>
        </w:tc>
      </w:tr>
      <w:tr>
        <w:trPr>
          <w:trHeight w:val="203"/>
        </w:trPr>
        <w:tc>
          <w:tcPr>
            <w:tcW w:w="3260" w:type="dxa"/>
            <w:vAlign w:val="bottom"/>
          </w:tcPr>
          <w:p>
            <w:pPr>
              <w:spacing w:after="0"/>
              <w:rPr>
                <w:sz w:val="20"/>
                <w:szCs w:val="20"/>
                <w:color w:val="auto"/>
              </w:rPr>
            </w:pPr>
            <w:r>
              <w:rPr>
                <w:rFonts w:ascii="Arial" w:cs="Arial" w:eastAsia="Arial" w:hAnsi="Arial"/>
                <w:sz w:val="14"/>
                <w:szCs w:val="14"/>
                <w:color w:val="auto"/>
              </w:rPr>
              <w:t>Average Stage Length (miles)</w:t>
            </w:r>
          </w:p>
        </w:tc>
        <w:tc>
          <w:tcPr>
            <w:tcW w:w="1140" w:type="dxa"/>
            <w:vAlign w:val="bottom"/>
          </w:tcPr>
          <w:p>
            <w:pPr>
              <w:jc w:val="right"/>
              <w:ind w:right="257"/>
              <w:spacing w:after="0"/>
              <w:rPr>
                <w:sz w:val="20"/>
                <w:szCs w:val="20"/>
                <w:color w:val="auto"/>
              </w:rPr>
            </w:pPr>
            <w:r>
              <w:rPr>
                <w:rFonts w:ascii="Arial" w:cs="Arial" w:eastAsia="Arial" w:hAnsi="Arial"/>
                <w:sz w:val="13"/>
                <w:szCs w:val="13"/>
                <w:color w:val="auto"/>
              </w:rPr>
              <w:t>1,260</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1,260</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1,236</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1.9 %</w:t>
            </w:r>
          </w:p>
        </w:tc>
      </w:tr>
      <w:tr>
        <w:trPr>
          <w:trHeight w:val="216"/>
        </w:trPr>
        <w:tc>
          <w:tcPr>
            <w:tcW w:w="3260" w:type="dxa"/>
            <w:vAlign w:val="bottom"/>
          </w:tcPr>
          <w:p>
            <w:pPr>
              <w:spacing w:after="0"/>
              <w:rPr>
                <w:sz w:val="20"/>
                <w:szCs w:val="20"/>
                <w:color w:val="auto"/>
              </w:rPr>
            </w:pPr>
            <w:r>
              <w:rPr>
                <w:rFonts w:ascii="Arial" w:cs="Arial" w:eastAsia="Arial" w:hAnsi="Arial"/>
                <w:sz w:val="14"/>
                <w:szCs w:val="14"/>
                <w:color w:val="auto"/>
              </w:rPr>
              <w:t>Departures</w:t>
            </w:r>
          </w:p>
        </w:tc>
        <w:tc>
          <w:tcPr>
            <w:tcW w:w="1140" w:type="dxa"/>
            <w:vAlign w:val="bottom"/>
          </w:tcPr>
          <w:p>
            <w:pPr>
              <w:jc w:val="right"/>
              <w:ind w:right="257"/>
              <w:spacing w:after="0"/>
              <w:rPr>
                <w:sz w:val="20"/>
                <w:szCs w:val="20"/>
                <w:color w:val="auto"/>
              </w:rPr>
            </w:pPr>
            <w:r>
              <w:rPr>
                <w:rFonts w:ascii="Arial" w:cs="Arial" w:eastAsia="Arial" w:hAnsi="Arial"/>
                <w:sz w:val="13"/>
                <w:szCs w:val="13"/>
                <w:color w:val="auto"/>
              </w:rPr>
              <w:t>43,033</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37,829</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13.8 %</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41,942</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2.6 %</w:t>
            </w:r>
          </w:p>
        </w:tc>
      </w:tr>
      <w:tr>
        <w:trPr>
          <w:trHeight w:val="216"/>
        </w:trPr>
        <w:tc>
          <w:tcPr>
            <w:tcW w:w="3260" w:type="dxa"/>
            <w:vAlign w:val="bottom"/>
          </w:tcPr>
          <w:p>
            <w:pPr>
              <w:spacing w:after="0"/>
              <w:rPr>
                <w:sz w:val="20"/>
                <w:szCs w:val="20"/>
                <w:color w:val="auto"/>
              </w:rPr>
            </w:pPr>
            <w:r>
              <w:rPr>
                <w:rFonts w:ascii="Arial" w:cs="Arial" w:eastAsia="Arial" w:hAnsi="Arial"/>
                <w:sz w:val="14"/>
                <w:szCs w:val="14"/>
                <w:color w:val="auto"/>
              </w:rPr>
              <w:t>Block Hours</w:t>
            </w:r>
          </w:p>
        </w:tc>
        <w:tc>
          <w:tcPr>
            <w:tcW w:w="1140" w:type="dxa"/>
            <w:vAlign w:val="bottom"/>
          </w:tcPr>
          <w:p>
            <w:pPr>
              <w:jc w:val="right"/>
              <w:ind w:right="257"/>
              <w:spacing w:after="0"/>
              <w:rPr>
                <w:sz w:val="20"/>
                <w:szCs w:val="20"/>
                <w:color w:val="auto"/>
              </w:rPr>
            </w:pPr>
            <w:r>
              <w:rPr>
                <w:rFonts w:ascii="Arial" w:cs="Arial" w:eastAsia="Arial" w:hAnsi="Arial"/>
                <w:sz w:val="13"/>
                <w:szCs w:val="13"/>
                <w:color w:val="auto"/>
              </w:rPr>
              <w:t>138,479</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121,611</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13.9 %</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133,488</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3.7 %</w:t>
            </w:r>
          </w:p>
        </w:tc>
      </w:tr>
      <w:tr>
        <w:trPr>
          <w:trHeight w:val="216"/>
        </w:trPr>
        <w:tc>
          <w:tcPr>
            <w:tcW w:w="3260" w:type="dxa"/>
            <w:vAlign w:val="bottom"/>
          </w:tcPr>
          <w:p>
            <w:pPr>
              <w:spacing w:after="0"/>
              <w:rPr>
                <w:sz w:val="20"/>
                <w:szCs w:val="20"/>
                <w:color w:val="auto"/>
              </w:rPr>
            </w:pPr>
            <w:r>
              <w:rPr>
                <w:rFonts w:ascii="Arial" w:cs="Arial" w:eastAsia="Arial" w:hAnsi="Arial"/>
                <w:sz w:val="14"/>
                <w:szCs w:val="14"/>
                <w:color w:val="auto"/>
              </w:rPr>
              <w:t>Average Aircraft Utilization (hours)</w:t>
            </w:r>
          </w:p>
        </w:tc>
        <w:tc>
          <w:tcPr>
            <w:tcW w:w="1140" w:type="dxa"/>
            <w:vAlign w:val="bottom"/>
          </w:tcPr>
          <w:p>
            <w:pPr>
              <w:jc w:val="right"/>
              <w:ind w:right="257"/>
              <w:spacing w:after="0"/>
              <w:rPr>
                <w:sz w:val="20"/>
                <w:szCs w:val="20"/>
                <w:color w:val="auto"/>
              </w:rPr>
            </w:pPr>
            <w:r>
              <w:rPr>
                <w:rFonts w:ascii="Arial" w:cs="Arial" w:eastAsia="Arial" w:hAnsi="Arial"/>
                <w:sz w:val="13"/>
                <w:szCs w:val="13"/>
                <w:color w:val="auto"/>
              </w:rPr>
              <w:t>12.2</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12.1</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1.3 %</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11.9</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3.1 %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-1597025</wp:posOffset>
            </wp:positionV>
            <wp:extent cx="625475" cy="1602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5475" cy="160274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-1597025</wp:posOffset>
            </wp:positionV>
            <wp:extent cx="634365" cy="1602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4365" cy="160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920"/>
          </w:cols>
          <w:pgMar w:left="320" w:top="1440" w:right="65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5837555" cy="11055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837555" cy="110553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Copa Holdings, S. A.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profit or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US$ thousands)</w:t>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256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Unaudited</w:t>
            </w:r>
          </w:p>
        </w:tc>
        <w:tc>
          <w:tcPr>
            <w:tcW w:w="13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Unaudited</w:t>
            </w:r>
          </w:p>
        </w:tc>
        <w:tc>
          <w:tcPr>
            <w:tcW w:w="1000" w:type="dxa"/>
            <w:vAlign w:val="bottom"/>
            <w:shd w:val="clear" w:color="auto" w:fill="BFBFBF"/>
          </w:tcPr>
          <w:p>
            <w:pPr>
              <w:jc w:val="right"/>
              <w:ind w:right="377"/>
              <w:spacing w:after="0"/>
              <w:rPr>
                <w:sz w:val="20"/>
                <w:szCs w:val="20"/>
                <w:color w:val="auto"/>
              </w:rPr>
            </w:pPr>
            <w:r>
              <w:rPr>
                <w:rFonts w:ascii="Arial" w:cs="Arial" w:eastAsia="Arial" w:hAnsi="Arial"/>
                <w:sz w:val="13"/>
                <w:szCs w:val="13"/>
                <w:b w:val="1"/>
                <w:bCs w:val="1"/>
                <w:color w:val="auto"/>
              </w:rPr>
              <w:t>%</w:t>
            </w:r>
          </w:p>
        </w:tc>
        <w:tc>
          <w:tcPr>
            <w:tcW w:w="13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Unaudited</w:t>
            </w:r>
          </w:p>
        </w:tc>
        <w:tc>
          <w:tcPr>
            <w:tcW w:w="1020" w:type="dxa"/>
            <w:vAlign w:val="bottom"/>
            <w:shd w:val="clear" w:color="auto" w:fill="BFBFBF"/>
          </w:tcPr>
          <w:p>
            <w:pPr>
              <w:jc w:val="right"/>
              <w:ind w:right="397"/>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56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1Q26</w:t>
            </w:r>
          </w:p>
        </w:tc>
        <w:tc>
          <w:tcPr>
            <w:tcW w:w="13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1Q25</w:t>
            </w:r>
          </w:p>
        </w:tc>
        <w:tc>
          <w:tcPr>
            <w:tcW w:w="1000" w:type="dxa"/>
            <w:vAlign w:val="bottom"/>
            <w:shd w:val="clear" w:color="auto" w:fill="BFBFBF"/>
          </w:tcPr>
          <w:p>
            <w:pPr>
              <w:jc w:val="right"/>
              <w:ind w:right="217"/>
              <w:spacing w:after="0"/>
              <w:rPr>
                <w:sz w:val="20"/>
                <w:szCs w:val="20"/>
                <w:color w:val="auto"/>
              </w:rPr>
            </w:pPr>
            <w:r>
              <w:rPr>
                <w:rFonts w:ascii="Arial" w:cs="Arial" w:eastAsia="Arial" w:hAnsi="Arial"/>
                <w:sz w:val="13"/>
                <w:szCs w:val="13"/>
                <w:b w:val="1"/>
                <w:bCs w:val="1"/>
                <w:color w:val="auto"/>
              </w:rPr>
              <w:t>Change</w:t>
            </w:r>
          </w:p>
        </w:tc>
        <w:tc>
          <w:tcPr>
            <w:tcW w:w="13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4Q25</w:t>
            </w:r>
          </w:p>
        </w:tc>
        <w:tc>
          <w:tcPr>
            <w:tcW w:w="1020" w:type="dxa"/>
            <w:vAlign w:val="bottom"/>
            <w:shd w:val="clear" w:color="auto" w:fill="BFBFBF"/>
          </w:tcPr>
          <w:p>
            <w:pPr>
              <w:jc w:val="right"/>
              <w:ind w:right="217"/>
              <w:spacing w:after="0"/>
              <w:rPr>
                <w:sz w:val="20"/>
                <w:szCs w:val="20"/>
                <w:color w:val="auto"/>
              </w:rPr>
            </w:pPr>
            <w:r>
              <w:rPr>
                <w:rFonts w:ascii="Arial" w:cs="Arial" w:eastAsia="Arial" w:hAnsi="Arial"/>
                <w:sz w:val="13"/>
                <w:szCs w:val="13"/>
                <w:b w:val="1"/>
                <w:bCs w:val="1"/>
                <w:color w:val="auto"/>
              </w:rPr>
              <w:t>Change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560" w:type="dxa"/>
            <w:vAlign w:val="bottom"/>
          </w:tcPr>
          <w:p>
            <w:pPr>
              <w:spacing w:after="0"/>
              <w:rPr>
                <w:sz w:val="20"/>
                <w:szCs w:val="20"/>
                <w:color w:val="auto"/>
              </w:rPr>
            </w:pPr>
            <w:r>
              <w:rPr>
                <w:rFonts w:ascii="Arial" w:cs="Arial" w:eastAsia="Arial" w:hAnsi="Arial"/>
                <w:sz w:val="13"/>
                <w:szCs w:val="13"/>
                <w:b w:val="1"/>
                <w:bCs w:val="1"/>
                <w:color w:val="auto"/>
              </w:rPr>
              <w:t>Operating Revenues</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shd w:val="clear" w:color="auto" w:fill="BFBFBF"/>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shd w:val="clear" w:color="auto" w:fill="BFBFB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560" w:type="dxa"/>
            <w:vAlign w:val="bottom"/>
          </w:tcPr>
          <w:p>
            <w:pPr>
              <w:ind w:left="80"/>
              <w:spacing w:after="0"/>
              <w:rPr>
                <w:sz w:val="20"/>
                <w:szCs w:val="20"/>
                <w:color w:val="auto"/>
              </w:rPr>
            </w:pPr>
            <w:r>
              <w:rPr>
                <w:rFonts w:ascii="Arial" w:cs="Arial" w:eastAsia="Arial" w:hAnsi="Arial"/>
                <w:sz w:val="13"/>
                <w:szCs w:val="13"/>
                <w:color w:val="auto"/>
              </w:rPr>
              <w:t>Passenger revenue</w:t>
            </w:r>
          </w:p>
        </w:tc>
        <w:tc>
          <w:tcPr>
            <w:tcW w:w="1080" w:type="dxa"/>
            <w:vAlign w:val="bottom"/>
          </w:tcPr>
          <w:p>
            <w:pPr>
              <w:jc w:val="right"/>
              <w:ind w:right="117"/>
              <w:spacing w:after="0"/>
              <w:rPr>
                <w:sz w:val="20"/>
                <w:szCs w:val="20"/>
                <w:color w:val="auto"/>
              </w:rPr>
            </w:pPr>
            <w:r>
              <w:rPr>
                <w:rFonts w:ascii="Arial" w:cs="Arial" w:eastAsia="Arial" w:hAnsi="Arial"/>
                <w:sz w:val="13"/>
                <w:szCs w:val="13"/>
                <w:color w:val="auto"/>
              </w:rPr>
              <w:t>1,004,173</w:t>
            </w:r>
          </w:p>
        </w:tc>
        <w:tc>
          <w:tcPr>
            <w:tcW w:w="80" w:type="dxa"/>
            <w:vAlign w:val="bottom"/>
          </w:tcPr>
          <w:p>
            <w:pPr>
              <w:spacing w:after="0"/>
              <w:rPr>
                <w:sz w:val="17"/>
                <w:szCs w:val="17"/>
                <w:color w:val="auto"/>
              </w:rPr>
            </w:pPr>
          </w:p>
        </w:tc>
        <w:tc>
          <w:tcPr>
            <w:tcW w:w="1280" w:type="dxa"/>
            <w:vAlign w:val="bottom"/>
          </w:tcPr>
          <w:p>
            <w:pPr>
              <w:jc w:val="right"/>
              <w:ind w:right="117"/>
              <w:spacing w:after="0"/>
              <w:rPr>
                <w:sz w:val="20"/>
                <w:szCs w:val="20"/>
                <w:color w:val="auto"/>
              </w:rPr>
            </w:pPr>
            <w:r>
              <w:rPr>
                <w:rFonts w:ascii="Arial" w:cs="Arial" w:eastAsia="Arial" w:hAnsi="Arial"/>
                <w:sz w:val="13"/>
                <w:szCs w:val="13"/>
                <w:color w:val="auto"/>
              </w:rPr>
              <w:t>859,025</w:t>
            </w:r>
          </w:p>
        </w:tc>
        <w:tc>
          <w:tcPr>
            <w:tcW w:w="100" w:type="dxa"/>
            <w:vAlign w:val="bottom"/>
          </w:tcPr>
          <w:p>
            <w:pPr>
              <w:spacing w:after="0"/>
              <w:rPr>
                <w:sz w:val="17"/>
                <w:szCs w:val="17"/>
                <w:color w:val="auto"/>
              </w:rPr>
            </w:pPr>
          </w:p>
        </w:tc>
        <w:tc>
          <w:tcPr>
            <w:tcW w:w="1000" w:type="dxa"/>
            <w:vAlign w:val="bottom"/>
            <w:tcBorders>
              <w:bottom w:val="single" w:sz="8" w:color="BFBFBF"/>
            </w:tcBorders>
            <w:shd w:val="clear" w:color="auto" w:fill="BFBFBF"/>
          </w:tcPr>
          <w:p>
            <w:pPr>
              <w:jc w:val="right"/>
              <w:spacing w:after="0"/>
              <w:rPr>
                <w:sz w:val="20"/>
                <w:szCs w:val="20"/>
                <w:color w:val="auto"/>
              </w:rPr>
            </w:pPr>
            <w:r>
              <w:rPr>
                <w:rFonts w:ascii="Arial" w:cs="Arial" w:eastAsia="Arial" w:hAnsi="Arial"/>
                <w:sz w:val="13"/>
                <w:szCs w:val="13"/>
                <w:color w:val="auto"/>
              </w:rPr>
              <w:t>16.9%</w:t>
            </w:r>
          </w:p>
        </w:tc>
        <w:tc>
          <w:tcPr>
            <w:tcW w:w="1220" w:type="dxa"/>
            <w:vAlign w:val="bottom"/>
          </w:tcPr>
          <w:p>
            <w:pPr>
              <w:jc w:val="right"/>
              <w:ind w:right="117"/>
              <w:spacing w:after="0"/>
              <w:rPr>
                <w:sz w:val="20"/>
                <w:szCs w:val="20"/>
                <w:color w:val="auto"/>
              </w:rPr>
            </w:pPr>
            <w:r>
              <w:rPr>
                <w:rFonts w:ascii="Arial" w:cs="Arial" w:eastAsia="Arial" w:hAnsi="Arial"/>
                <w:sz w:val="13"/>
                <w:szCs w:val="13"/>
                <w:color w:val="auto"/>
              </w:rPr>
              <w:t>913,623</w:t>
            </w:r>
          </w:p>
        </w:tc>
        <w:tc>
          <w:tcPr>
            <w:tcW w:w="100" w:type="dxa"/>
            <w:vAlign w:val="bottom"/>
          </w:tcPr>
          <w:p>
            <w:pPr>
              <w:spacing w:after="0"/>
              <w:rPr>
                <w:sz w:val="17"/>
                <w:szCs w:val="17"/>
                <w:color w:val="auto"/>
              </w:rPr>
            </w:pPr>
          </w:p>
        </w:tc>
        <w:tc>
          <w:tcPr>
            <w:tcW w:w="1020" w:type="dxa"/>
            <w:vAlign w:val="bottom"/>
            <w:tcBorders>
              <w:bottom w:val="single" w:sz="8" w:color="BFBFBF"/>
            </w:tcBorders>
            <w:shd w:val="clear" w:color="auto" w:fill="BFBFBF"/>
          </w:tcPr>
          <w:p>
            <w:pPr>
              <w:jc w:val="right"/>
              <w:spacing w:after="0"/>
              <w:rPr>
                <w:sz w:val="20"/>
                <w:szCs w:val="20"/>
                <w:color w:val="auto"/>
              </w:rPr>
            </w:pPr>
            <w:r>
              <w:rPr>
                <w:rFonts w:ascii="Arial" w:cs="Arial" w:eastAsia="Arial" w:hAnsi="Arial"/>
                <w:sz w:val="13"/>
                <w:szCs w:val="13"/>
                <w:color w:val="auto"/>
              </w:rPr>
              <w:t>9.9%</w:t>
            </w: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560" w:type="dxa"/>
            <w:vAlign w:val="bottom"/>
          </w:tcPr>
          <w:p>
            <w:pPr>
              <w:ind w:left="80"/>
              <w:spacing w:after="0"/>
              <w:rPr>
                <w:sz w:val="20"/>
                <w:szCs w:val="20"/>
                <w:color w:val="auto"/>
              </w:rPr>
            </w:pPr>
            <w:r>
              <w:rPr>
                <w:rFonts w:ascii="Arial" w:cs="Arial" w:eastAsia="Arial" w:hAnsi="Arial"/>
                <w:sz w:val="13"/>
                <w:szCs w:val="13"/>
                <w:color w:val="auto"/>
              </w:rPr>
              <w:t>Cargo and mail revenue</w:t>
            </w:r>
          </w:p>
        </w:tc>
        <w:tc>
          <w:tcPr>
            <w:tcW w:w="1080" w:type="dxa"/>
            <w:vAlign w:val="bottom"/>
          </w:tcPr>
          <w:p>
            <w:pPr>
              <w:jc w:val="right"/>
              <w:ind w:right="117"/>
              <w:spacing w:after="0"/>
              <w:rPr>
                <w:sz w:val="20"/>
                <w:szCs w:val="20"/>
                <w:color w:val="auto"/>
              </w:rPr>
            </w:pPr>
            <w:r>
              <w:rPr>
                <w:rFonts w:ascii="Arial" w:cs="Arial" w:eastAsia="Arial" w:hAnsi="Arial"/>
                <w:sz w:val="13"/>
                <w:szCs w:val="13"/>
                <w:color w:val="auto"/>
              </w:rPr>
              <w:t>29,760</w:t>
            </w:r>
          </w:p>
        </w:tc>
        <w:tc>
          <w:tcPr>
            <w:tcW w:w="80" w:type="dxa"/>
            <w:vAlign w:val="bottom"/>
          </w:tcPr>
          <w:p>
            <w:pPr>
              <w:spacing w:after="0"/>
              <w:rPr>
                <w:sz w:val="15"/>
                <w:szCs w:val="15"/>
                <w:color w:val="auto"/>
              </w:rPr>
            </w:pPr>
          </w:p>
        </w:tc>
        <w:tc>
          <w:tcPr>
            <w:tcW w:w="1280" w:type="dxa"/>
            <w:vAlign w:val="bottom"/>
          </w:tcPr>
          <w:p>
            <w:pPr>
              <w:jc w:val="right"/>
              <w:ind w:right="117"/>
              <w:spacing w:after="0"/>
              <w:rPr>
                <w:sz w:val="20"/>
                <w:szCs w:val="20"/>
                <w:color w:val="auto"/>
              </w:rPr>
            </w:pPr>
            <w:r>
              <w:rPr>
                <w:rFonts w:ascii="Arial" w:cs="Arial" w:eastAsia="Arial" w:hAnsi="Arial"/>
                <w:sz w:val="13"/>
                <w:szCs w:val="13"/>
                <w:color w:val="auto"/>
              </w:rPr>
              <w:t>25,694</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15.8%</w:t>
            </w:r>
          </w:p>
        </w:tc>
        <w:tc>
          <w:tcPr>
            <w:tcW w:w="1220" w:type="dxa"/>
            <w:vAlign w:val="bottom"/>
          </w:tcPr>
          <w:p>
            <w:pPr>
              <w:jc w:val="right"/>
              <w:ind w:right="117"/>
              <w:spacing w:after="0"/>
              <w:rPr>
                <w:sz w:val="20"/>
                <w:szCs w:val="20"/>
                <w:color w:val="auto"/>
              </w:rPr>
            </w:pPr>
            <w:r>
              <w:rPr>
                <w:rFonts w:ascii="Arial" w:cs="Arial" w:eastAsia="Arial" w:hAnsi="Arial"/>
                <w:sz w:val="13"/>
                <w:szCs w:val="13"/>
                <w:color w:val="auto"/>
              </w:rPr>
              <w:t>32,036</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(7.1%)</w:t>
            </w: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60" w:type="dxa"/>
            <w:vAlign w:val="bottom"/>
          </w:tcPr>
          <w:p>
            <w:pPr>
              <w:ind w:left="80"/>
              <w:spacing w:after="0"/>
              <w:rPr>
                <w:sz w:val="20"/>
                <w:szCs w:val="20"/>
                <w:color w:val="auto"/>
              </w:rPr>
            </w:pPr>
            <w:r>
              <w:rPr>
                <w:rFonts w:ascii="Arial" w:cs="Arial" w:eastAsia="Arial" w:hAnsi="Arial"/>
                <w:sz w:val="13"/>
                <w:szCs w:val="13"/>
                <w:color w:val="auto"/>
              </w:rPr>
              <w:t>Other operating revenue</w:t>
            </w:r>
          </w:p>
        </w:tc>
        <w:tc>
          <w:tcPr>
            <w:tcW w:w="1080" w:type="dxa"/>
            <w:vAlign w:val="bottom"/>
          </w:tcPr>
          <w:p>
            <w:pPr>
              <w:jc w:val="right"/>
              <w:ind w:right="117"/>
              <w:spacing w:after="0"/>
              <w:rPr>
                <w:sz w:val="20"/>
                <w:szCs w:val="20"/>
                <w:color w:val="auto"/>
              </w:rPr>
            </w:pPr>
            <w:r>
              <w:rPr>
                <w:rFonts w:ascii="Arial" w:cs="Arial" w:eastAsia="Arial" w:hAnsi="Arial"/>
                <w:sz w:val="13"/>
                <w:szCs w:val="13"/>
                <w:color w:val="auto"/>
              </w:rPr>
              <w:t>18,490</w:t>
            </w:r>
          </w:p>
        </w:tc>
        <w:tc>
          <w:tcPr>
            <w:tcW w:w="80" w:type="dxa"/>
            <w:vAlign w:val="bottom"/>
          </w:tcPr>
          <w:p>
            <w:pPr>
              <w:spacing w:after="0"/>
              <w:rPr>
                <w:sz w:val="17"/>
                <w:szCs w:val="17"/>
                <w:color w:val="auto"/>
              </w:rPr>
            </w:pPr>
          </w:p>
        </w:tc>
        <w:tc>
          <w:tcPr>
            <w:tcW w:w="1280" w:type="dxa"/>
            <w:vAlign w:val="bottom"/>
          </w:tcPr>
          <w:p>
            <w:pPr>
              <w:jc w:val="right"/>
              <w:ind w:right="117"/>
              <w:spacing w:after="0"/>
              <w:rPr>
                <w:sz w:val="20"/>
                <w:szCs w:val="20"/>
                <w:color w:val="auto"/>
              </w:rPr>
            </w:pPr>
            <w:r>
              <w:rPr>
                <w:rFonts w:ascii="Arial" w:cs="Arial" w:eastAsia="Arial" w:hAnsi="Arial"/>
                <w:sz w:val="13"/>
                <w:szCs w:val="13"/>
                <w:color w:val="auto"/>
              </w:rPr>
              <w:t>14,462</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27.8%</w:t>
            </w:r>
          </w:p>
        </w:tc>
        <w:tc>
          <w:tcPr>
            <w:tcW w:w="1220" w:type="dxa"/>
            <w:vAlign w:val="bottom"/>
          </w:tcPr>
          <w:p>
            <w:pPr>
              <w:jc w:val="right"/>
              <w:ind w:right="117"/>
              <w:spacing w:after="0"/>
              <w:rPr>
                <w:sz w:val="20"/>
                <w:szCs w:val="20"/>
                <w:color w:val="auto"/>
              </w:rPr>
            </w:pPr>
            <w:r>
              <w:rPr>
                <w:rFonts w:ascii="Arial" w:cs="Arial" w:eastAsia="Arial" w:hAnsi="Arial"/>
                <w:sz w:val="13"/>
                <w:szCs w:val="13"/>
                <w:color w:val="auto"/>
              </w:rPr>
              <w:t>17,228</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7.3%</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2560" w:type="dxa"/>
            <w:vAlign w:val="bottom"/>
            <w:vMerge w:val="restart"/>
          </w:tcPr>
          <w:p>
            <w:pPr>
              <w:spacing w:after="0"/>
              <w:rPr>
                <w:sz w:val="20"/>
                <w:szCs w:val="20"/>
                <w:color w:val="auto"/>
              </w:rPr>
            </w:pPr>
            <w:r>
              <w:rPr>
                <w:rFonts w:ascii="Arial" w:cs="Arial" w:eastAsia="Arial" w:hAnsi="Arial"/>
                <w:sz w:val="13"/>
                <w:szCs w:val="13"/>
                <w:b w:val="1"/>
                <w:bCs w:val="1"/>
                <w:color w:val="auto"/>
              </w:rPr>
              <w:t>Total Operating Revenue</w:t>
            </w: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560" w:type="dxa"/>
            <w:vAlign w:val="bottom"/>
            <w:vMerge w:val="continue"/>
          </w:tcPr>
          <w:p>
            <w:pPr>
              <w:spacing w:after="0"/>
              <w:rPr>
                <w:sz w:val="15"/>
                <w:szCs w:val="15"/>
                <w:color w:val="auto"/>
              </w:rPr>
            </w:pPr>
          </w:p>
        </w:tc>
        <w:tc>
          <w:tcPr>
            <w:tcW w:w="1080" w:type="dxa"/>
            <w:vAlign w:val="bottom"/>
          </w:tcPr>
          <w:p>
            <w:pPr>
              <w:jc w:val="right"/>
              <w:ind w:right="117"/>
              <w:spacing w:after="0"/>
              <w:rPr>
                <w:sz w:val="20"/>
                <w:szCs w:val="20"/>
                <w:color w:val="auto"/>
              </w:rPr>
            </w:pPr>
            <w:r>
              <w:rPr>
                <w:rFonts w:ascii="Arial" w:cs="Arial" w:eastAsia="Arial" w:hAnsi="Arial"/>
                <w:sz w:val="13"/>
                <w:szCs w:val="13"/>
                <w:b w:val="1"/>
                <w:bCs w:val="1"/>
                <w:color w:val="auto"/>
              </w:rPr>
              <w:t>1,052,423</w:t>
            </w:r>
          </w:p>
        </w:tc>
        <w:tc>
          <w:tcPr>
            <w:tcW w:w="80" w:type="dxa"/>
            <w:vAlign w:val="bottom"/>
          </w:tcPr>
          <w:p>
            <w:pPr>
              <w:spacing w:after="0"/>
              <w:rPr>
                <w:sz w:val="15"/>
                <w:szCs w:val="15"/>
                <w:color w:val="auto"/>
              </w:rPr>
            </w:pPr>
          </w:p>
        </w:tc>
        <w:tc>
          <w:tcPr>
            <w:tcW w:w="1280" w:type="dxa"/>
            <w:vAlign w:val="bottom"/>
          </w:tcPr>
          <w:p>
            <w:pPr>
              <w:jc w:val="right"/>
              <w:ind w:right="117"/>
              <w:spacing w:after="0"/>
              <w:rPr>
                <w:sz w:val="20"/>
                <w:szCs w:val="20"/>
                <w:color w:val="auto"/>
              </w:rPr>
            </w:pPr>
            <w:r>
              <w:rPr>
                <w:rFonts w:ascii="Arial" w:cs="Arial" w:eastAsia="Arial" w:hAnsi="Arial"/>
                <w:sz w:val="13"/>
                <w:szCs w:val="13"/>
                <w:b w:val="1"/>
                <w:bCs w:val="1"/>
                <w:color w:val="auto"/>
              </w:rPr>
              <w:t>899,181</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17.0%</w:t>
            </w:r>
          </w:p>
        </w:tc>
        <w:tc>
          <w:tcPr>
            <w:tcW w:w="1220" w:type="dxa"/>
            <w:vAlign w:val="bottom"/>
          </w:tcPr>
          <w:p>
            <w:pPr>
              <w:jc w:val="right"/>
              <w:ind w:right="117"/>
              <w:spacing w:after="0"/>
              <w:rPr>
                <w:sz w:val="20"/>
                <w:szCs w:val="20"/>
                <w:color w:val="auto"/>
              </w:rPr>
            </w:pPr>
            <w:r>
              <w:rPr>
                <w:rFonts w:ascii="Arial" w:cs="Arial" w:eastAsia="Arial" w:hAnsi="Arial"/>
                <w:sz w:val="13"/>
                <w:szCs w:val="13"/>
                <w:b w:val="1"/>
                <w:bCs w:val="1"/>
                <w:color w:val="auto"/>
              </w:rPr>
              <w:t>962,888</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9.3%</w:t>
            </w: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2560" w:type="dxa"/>
            <w:vAlign w:val="bottom"/>
          </w:tcPr>
          <w:p>
            <w:pPr>
              <w:spacing w:after="0"/>
              <w:rPr>
                <w:sz w:val="20"/>
                <w:szCs w:val="20"/>
                <w:color w:val="auto"/>
              </w:rPr>
            </w:pPr>
            <w:r>
              <w:rPr>
                <w:rFonts w:ascii="Arial" w:cs="Arial" w:eastAsia="Arial" w:hAnsi="Arial"/>
                <w:sz w:val="13"/>
                <w:szCs w:val="13"/>
                <w:b w:val="1"/>
                <w:bCs w:val="1"/>
                <w:color w:val="auto"/>
              </w:rPr>
              <w:t>Operating Expenses</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560" w:type="dxa"/>
            <w:vAlign w:val="bottom"/>
          </w:tcPr>
          <w:p>
            <w:pPr>
              <w:ind w:left="80"/>
              <w:spacing w:after="0"/>
              <w:rPr>
                <w:sz w:val="20"/>
                <w:szCs w:val="20"/>
                <w:color w:val="auto"/>
              </w:rPr>
            </w:pPr>
            <w:r>
              <w:rPr>
                <w:rFonts w:ascii="Arial" w:cs="Arial" w:eastAsia="Arial" w:hAnsi="Arial"/>
                <w:sz w:val="13"/>
                <w:szCs w:val="13"/>
                <w:color w:val="auto"/>
              </w:rPr>
              <w:t>Fuel</w:t>
            </w:r>
          </w:p>
        </w:tc>
        <w:tc>
          <w:tcPr>
            <w:tcW w:w="1080" w:type="dxa"/>
            <w:vAlign w:val="bottom"/>
          </w:tcPr>
          <w:p>
            <w:pPr>
              <w:jc w:val="right"/>
              <w:ind w:right="117"/>
              <w:spacing w:after="0"/>
              <w:rPr>
                <w:sz w:val="20"/>
                <w:szCs w:val="20"/>
                <w:color w:val="auto"/>
              </w:rPr>
            </w:pPr>
            <w:r>
              <w:rPr>
                <w:rFonts w:ascii="Arial" w:cs="Arial" w:eastAsia="Arial" w:hAnsi="Arial"/>
                <w:sz w:val="13"/>
                <w:szCs w:val="13"/>
                <w:color w:val="auto"/>
              </w:rPr>
              <w:t>282,462</w:t>
            </w:r>
          </w:p>
        </w:tc>
        <w:tc>
          <w:tcPr>
            <w:tcW w:w="80" w:type="dxa"/>
            <w:vAlign w:val="bottom"/>
          </w:tcPr>
          <w:p>
            <w:pPr>
              <w:spacing w:after="0"/>
              <w:rPr>
                <w:sz w:val="15"/>
                <w:szCs w:val="15"/>
                <w:color w:val="auto"/>
              </w:rPr>
            </w:pPr>
          </w:p>
        </w:tc>
        <w:tc>
          <w:tcPr>
            <w:tcW w:w="1280" w:type="dxa"/>
            <w:vAlign w:val="bottom"/>
          </w:tcPr>
          <w:p>
            <w:pPr>
              <w:jc w:val="right"/>
              <w:ind w:right="117"/>
              <w:spacing w:after="0"/>
              <w:rPr>
                <w:sz w:val="20"/>
                <w:szCs w:val="20"/>
                <w:color w:val="auto"/>
              </w:rPr>
            </w:pPr>
            <w:r>
              <w:rPr>
                <w:rFonts w:ascii="Arial" w:cs="Arial" w:eastAsia="Arial" w:hAnsi="Arial"/>
                <w:sz w:val="13"/>
                <w:szCs w:val="13"/>
                <w:color w:val="auto"/>
              </w:rPr>
              <w:t>232,160</w:t>
            </w:r>
          </w:p>
        </w:tc>
        <w:tc>
          <w:tcPr>
            <w:tcW w:w="100" w:type="dxa"/>
            <w:vAlign w:val="bottom"/>
          </w:tcPr>
          <w:p>
            <w:pPr>
              <w:spacing w:after="0"/>
              <w:rPr>
                <w:sz w:val="15"/>
                <w:szCs w:val="15"/>
                <w:color w:val="auto"/>
              </w:rPr>
            </w:pPr>
          </w:p>
        </w:tc>
        <w:tc>
          <w:tcPr>
            <w:tcW w:w="1000" w:type="dxa"/>
            <w:vAlign w:val="bottom"/>
            <w:tcBorders>
              <w:bottom w:val="single" w:sz="8" w:color="BFBFBF"/>
            </w:tcBorders>
            <w:shd w:val="clear" w:color="auto" w:fill="BFBFBF"/>
          </w:tcPr>
          <w:p>
            <w:pPr>
              <w:jc w:val="right"/>
              <w:spacing w:after="0"/>
              <w:rPr>
                <w:sz w:val="20"/>
                <w:szCs w:val="20"/>
                <w:color w:val="auto"/>
              </w:rPr>
            </w:pPr>
            <w:r>
              <w:rPr>
                <w:rFonts w:ascii="Arial" w:cs="Arial" w:eastAsia="Arial" w:hAnsi="Arial"/>
                <w:sz w:val="13"/>
                <w:szCs w:val="13"/>
                <w:color w:val="auto"/>
              </w:rPr>
              <w:t>21.7%</w:t>
            </w:r>
          </w:p>
        </w:tc>
        <w:tc>
          <w:tcPr>
            <w:tcW w:w="1220" w:type="dxa"/>
            <w:vAlign w:val="bottom"/>
          </w:tcPr>
          <w:p>
            <w:pPr>
              <w:jc w:val="right"/>
              <w:ind w:right="117"/>
              <w:spacing w:after="0"/>
              <w:rPr>
                <w:sz w:val="20"/>
                <w:szCs w:val="20"/>
                <w:color w:val="auto"/>
              </w:rPr>
            </w:pPr>
            <w:r>
              <w:rPr>
                <w:rFonts w:ascii="Arial" w:cs="Arial" w:eastAsia="Arial" w:hAnsi="Arial"/>
                <w:sz w:val="13"/>
                <w:szCs w:val="13"/>
                <w:color w:val="auto"/>
              </w:rPr>
              <w:t>249,177</w:t>
            </w:r>
          </w:p>
        </w:tc>
        <w:tc>
          <w:tcPr>
            <w:tcW w:w="100" w:type="dxa"/>
            <w:vAlign w:val="bottom"/>
          </w:tcPr>
          <w:p>
            <w:pPr>
              <w:spacing w:after="0"/>
              <w:rPr>
                <w:sz w:val="15"/>
                <w:szCs w:val="15"/>
                <w:color w:val="auto"/>
              </w:rPr>
            </w:pPr>
          </w:p>
        </w:tc>
        <w:tc>
          <w:tcPr>
            <w:tcW w:w="1020" w:type="dxa"/>
            <w:vAlign w:val="bottom"/>
            <w:tcBorders>
              <w:bottom w:val="single" w:sz="8" w:color="BFBFBF"/>
            </w:tcBorders>
            <w:shd w:val="clear" w:color="auto" w:fill="BFBFBF"/>
          </w:tcPr>
          <w:p>
            <w:pPr>
              <w:jc w:val="right"/>
              <w:spacing w:after="0"/>
              <w:rPr>
                <w:sz w:val="20"/>
                <w:szCs w:val="20"/>
                <w:color w:val="auto"/>
              </w:rPr>
            </w:pPr>
            <w:r>
              <w:rPr>
                <w:rFonts w:ascii="Arial" w:cs="Arial" w:eastAsia="Arial" w:hAnsi="Arial"/>
                <w:sz w:val="13"/>
                <w:szCs w:val="13"/>
                <w:color w:val="auto"/>
              </w:rPr>
              <w:t>13.4%</w:t>
            </w:r>
          </w:p>
        </w:tc>
        <w:tc>
          <w:tcPr>
            <w:tcW w:w="20" w:type="dxa"/>
            <w:vAlign w:val="bottom"/>
            <w:tcBorders>
              <w:bottom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560" w:type="dxa"/>
            <w:vAlign w:val="bottom"/>
          </w:tcPr>
          <w:p>
            <w:pPr>
              <w:ind w:left="80"/>
              <w:spacing w:after="0" w:line="144" w:lineRule="exact"/>
              <w:rPr>
                <w:sz w:val="20"/>
                <w:szCs w:val="20"/>
                <w:color w:val="auto"/>
              </w:rPr>
            </w:pPr>
            <w:r>
              <w:rPr>
                <w:rFonts w:ascii="Arial" w:cs="Arial" w:eastAsia="Arial" w:hAnsi="Arial"/>
                <w:sz w:val="13"/>
                <w:szCs w:val="13"/>
                <w:color w:val="auto"/>
              </w:rPr>
              <w:t>Wages, salaries, benefits and other</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560" w:type="dxa"/>
            <w:vAlign w:val="bottom"/>
          </w:tcPr>
          <w:p>
            <w:pPr>
              <w:ind w:left="80"/>
              <w:spacing w:after="0"/>
              <w:rPr>
                <w:sz w:val="20"/>
                <w:szCs w:val="20"/>
                <w:color w:val="auto"/>
              </w:rPr>
            </w:pPr>
            <w:r>
              <w:rPr>
                <w:rFonts w:ascii="Arial" w:cs="Arial" w:eastAsia="Arial" w:hAnsi="Arial"/>
                <w:sz w:val="13"/>
                <w:szCs w:val="13"/>
                <w:color w:val="auto"/>
              </w:rPr>
              <w:t>employees' expenses</w:t>
            </w:r>
          </w:p>
        </w:tc>
        <w:tc>
          <w:tcPr>
            <w:tcW w:w="1080" w:type="dxa"/>
            <w:vAlign w:val="bottom"/>
          </w:tcPr>
          <w:p>
            <w:pPr>
              <w:jc w:val="right"/>
              <w:ind w:right="117"/>
              <w:spacing w:after="0"/>
              <w:rPr>
                <w:sz w:val="20"/>
                <w:szCs w:val="20"/>
                <w:color w:val="auto"/>
              </w:rPr>
            </w:pPr>
            <w:r>
              <w:rPr>
                <w:rFonts w:ascii="Arial" w:cs="Arial" w:eastAsia="Arial" w:hAnsi="Arial"/>
                <w:sz w:val="13"/>
                <w:szCs w:val="13"/>
                <w:color w:val="auto"/>
              </w:rPr>
              <w:t>137,670</w:t>
            </w:r>
          </w:p>
        </w:tc>
        <w:tc>
          <w:tcPr>
            <w:tcW w:w="80" w:type="dxa"/>
            <w:vAlign w:val="bottom"/>
          </w:tcPr>
          <w:p>
            <w:pPr>
              <w:spacing w:after="0"/>
              <w:rPr>
                <w:sz w:val="14"/>
                <w:szCs w:val="14"/>
                <w:color w:val="auto"/>
              </w:rPr>
            </w:pPr>
          </w:p>
        </w:tc>
        <w:tc>
          <w:tcPr>
            <w:tcW w:w="1280" w:type="dxa"/>
            <w:vAlign w:val="bottom"/>
          </w:tcPr>
          <w:p>
            <w:pPr>
              <w:jc w:val="right"/>
              <w:ind w:right="117"/>
              <w:spacing w:after="0"/>
              <w:rPr>
                <w:sz w:val="20"/>
                <w:szCs w:val="20"/>
                <w:color w:val="auto"/>
              </w:rPr>
            </w:pPr>
            <w:r>
              <w:rPr>
                <w:rFonts w:ascii="Arial" w:cs="Arial" w:eastAsia="Arial" w:hAnsi="Arial"/>
                <w:sz w:val="13"/>
                <w:szCs w:val="13"/>
                <w:color w:val="auto"/>
              </w:rPr>
              <w:t>117,517</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17.1%</w:t>
            </w:r>
          </w:p>
        </w:tc>
        <w:tc>
          <w:tcPr>
            <w:tcW w:w="1220" w:type="dxa"/>
            <w:vAlign w:val="bottom"/>
          </w:tcPr>
          <w:p>
            <w:pPr>
              <w:jc w:val="right"/>
              <w:ind w:right="117"/>
              <w:spacing w:after="0"/>
              <w:rPr>
                <w:sz w:val="20"/>
                <w:szCs w:val="20"/>
                <w:color w:val="auto"/>
              </w:rPr>
            </w:pPr>
            <w:r>
              <w:rPr>
                <w:rFonts w:ascii="Arial" w:cs="Arial" w:eastAsia="Arial" w:hAnsi="Arial"/>
                <w:sz w:val="13"/>
                <w:szCs w:val="13"/>
                <w:color w:val="auto"/>
              </w:rPr>
              <w:t>137,906</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(0.2%)</w:t>
            </w: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560" w:type="dxa"/>
            <w:vAlign w:val="bottom"/>
          </w:tcPr>
          <w:p>
            <w:pPr>
              <w:ind w:left="80"/>
              <w:spacing w:after="0"/>
              <w:rPr>
                <w:sz w:val="20"/>
                <w:szCs w:val="20"/>
                <w:color w:val="auto"/>
              </w:rPr>
            </w:pPr>
            <w:r>
              <w:rPr>
                <w:rFonts w:ascii="Arial" w:cs="Arial" w:eastAsia="Arial" w:hAnsi="Arial"/>
                <w:sz w:val="13"/>
                <w:szCs w:val="13"/>
                <w:color w:val="auto"/>
              </w:rPr>
              <w:t>Passenger servicing</w:t>
            </w:r>
          </w:p>
        </w:tc>
        <w:tc>
          <w:tcPr>
            <w:tcW w:w="1080" w:type="dxa"/>
            <w:vAlign w:val="bottom"/>
          </w:tcPr>
          <w:p>
            <w:pPr>
              <w:jc w:val="right"/>
              <w:ind w:right="117"/>
              <w:spacing w:after="0"/>
              <w:rPr>
                <w:sz w:val="20"/>
                <w:szCs w:val="20"/>
                <w:color w:val="auto"/>
              </w:rPr>
            </w:pPr>
            <w:r>
              <w:rPr>
                <w:rFonts w:ascii="Arial" w:cs="Arial" w:eastAsia="Arial" w:hAnsi="Arial"/>
                <w:sz w:val="13"/>
                <w:szCs w:val="13"/>
                <w:color w:val="auto"/>
              </w:rPr>
              <w:t>28,135</w:t>
            </w:r>
          </w:p>
        </w:tc>
        <w:tc>
          <w:tcPr>
            <w:tcW w:w="80" w:type="dxa"/>
            <w:vAlign w:val="bottom"/>
          </w:tcPr>
          <w:p>
            <w:pPr>
              <w:spacing w:after="0"/>
              <w:rPr>
                <w:sz w:val="17"/>
                <w:szCs w:val="17"/>
                <w:color w:val="auto"/>
              </w:rPr>
            </w:pPr>
          </w:p>
        </w:tc>
        <w:tc>
          <w:tcPr>
            <w:tcW w:w="1280" w:type="dxa"/>
            <w:vAlign w:val="bottom"/>
          </w:tcPr>
          <w:p>
            <w:pPr>
              <w:jc w:val="right"/>
              <w:ind w:right="117"/>
              <w:spacing w:after="0"/>
              <w:rPr>
                <w:sz w:val="20"/>
                <w:szCs w:val="20"/>
                <w:color w:val="auto"/>
              </w:rPr>
            </w:pPr>
            <w:r>
              <w:rPr>
                <w:rFonts w:ascii="Arial" w:cs="Arial" w:eastAsia="Arial" w:hAnsi="Arial"/>
                <w:sz w:val="13"/>
                <w:szCs w:val="13"/>
                <w:color w:val="auto"/>
              </w:rPr>
              <w:t>25,024</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12.4%</w:t>
            </w:r>
          </w:p>
        </w:tc>
        <w:tc>
          <w:tcPr>
            <w:tcW w:w="1220" w:type="dxa"/>
            <w:vAlign w:val="bottom"/>
          </w:tcPr>
          <w:p>
            <w:pPr>
              <w:jc w:val="right"/>
              <w:ind w:right="117"/>
              <w:spacing w:after="0"/>
              <w:rPr>
                <w:sz w:val="20"/>
                <w:szCs w:val="20"/>
                <w:color w:val="auto"/>
              </w:rPr>
            </w:pPr>
            <w:r>
              <w:rPr>
                <w:rFonts w:ascii="Arial" w:cs="Arial" w:eastAsia="Arial" w:hAnsi="Arial"/>
                <w:sz w:val="13"/>
                <w:szCs w:val="13"/>
                <w:color w:val="auto"/>
              </w:rPr>
              <w:t>27,523</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2.2%</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tcPr>
          <w:p>
            <w:pPr>
              <w:ind w:left="80"/>
              <w:spacing w:after="0"/>
              <w:rPr>
                <w:sz w:val="20"/>
                <w:szCs w:val="20"/>
                <w:color w:val="auto"/>
              </w:rPr>
            </w:pPr>
            <w:r>
              <w:rPr>
                <w:rFonts w:ascii="Arial" w:cs="Arial" w:eastAsia="Arial" w:hAnsi="Arial"/>
                <w:sz w:val="13"/>
                <w:szCs w:val="13"/>
                <w:color w:val="auto"/>
              </w:rPr>
              <w:t>Airport facilities and handling charges</w:t>
            </w:r>
          </w:p>
        </w:tc>
        <w:tc>
          <w:tcPr>
            <w:tcW w:w="1080" w:type="dxa"/>
            <w:vAlign w:val="bottom"/>
          </w:tcPr>
          <w:p>
            <w:pPr>
              <w:jc w:val="right"/>
              <w:ind w:right="117"/>
              <w:spacing w:after="0"/>
              <w:rPr>
                <w:sz w:val="20"/>
                <w:szCs w:val="20"/>
                <w:color w:val="auto"/>
              </w:rPr>
            </w:pPr>
            <w:r>
              <w:rPr>
                <w:rFonts w:ascii="Arial" w:cs="Arial" w:eastAsia="Arial" w:hAnsi="Arial"/>
                <w:sz w:val="13"/>
                <w:szCs w:val="13"/>
                <w:color w:val="auto"/>
              </w:rPr>
              <w:t>79,184</w:t>
            </w:r>
          </w:p>
        </w:tc>
        <w:tc>
          <w:tcPr>
            <w:tcW w:w="80" w:type="dxa"/>
            <w:vAlign w:val="bottom"/>
          </w:tcPr>
          <w:p>
            <w:pPr>
              <w:spacing w:after="0"/>
              <w:rPr>
                <w:sz w:val="17"/>
                <w:szCs w:val="17"/>
                <w:color w:val="auto"/>
              </w:rPr>
            </w:pPr>
          </w:p>
        </w:tc>
        <w:tc>
          <w:tcPr>
            <w:tcW w:w="1280" w:type="dxa"/>
            <w:vAlign w:val="bottom"/>
          </w:tcPr>
          <w:p>
            <w:pPr>
              <w:jc w:val="right"/>
              <w:ind w:right="117"/>
              <w:spacing w:after="0"/>
              <w:rPr>
                <w:sz w:val="20"/>
                <w:szCs w:val="20"/>
                <w:color w:val="auto"/>
              </w:rPr>
            </w:pPr>
            <w:r>
              <w:rPr>
                <w:rFonts w:ascii="Arial" w:cs="Arial" w:eastAsia="Arial" w:hAnsi="Arial"/>
                <w:sz w:val="13"/>
                <w:szCs w:val="13"/>
                <w:color w:val="auto"/>
              </w:rPr>
              <w:t>65,657</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20.6%</w:t>
            </w:r>
          </w:p>
        </w:tc>
        <w:tc>
          <w:tcPr>
            <w:tcW w:w="1220" w:type="dxa"/>
            <w:vAlign w:val="bottom"/>
          </w:tcPr>
          <w:p>
            <w:pPr>
              <w:jc w:val="right"/>
              <w:ind w:right="117"/>
              <w:spacing w:after="0"/>
              <w:rPr>
                <w:sz w:val="20"/>
                <w:szCs w:val="20"/>
                <w:color w:val="auto"/>
              </w:rPr>
            </w:pPr>
            <w:r>
              <w:rPr>
                <w:rFonts w:ascii="Arial" w:cs="Arial" w:eastAsia="Arial" w:hAnsi="Arial"/>
                <w:sz w:val="13"/>
                <w:szCs w:val="13"/>
                <w:color w:val="auto"/>
              </w:rPr>
              <w:t>68,996</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14.8%</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tcPr>
          <w:p>
            <w:pPr>
              <w:ind w:left="80"/>
              <w:spacing w:after="0"/>
              <w:rPr>
                <w:sz w:val="20"/>
                <w:szCs w:val="20"/>
                <w:color w:val="auto"/>
              </w:rPr>
            </w:pPr>
            <w:r>
              <w:rPr>
                <w:rFonts w:ascii="Arial" w:cs="Arial" w:eastAsia="Arial" w:hAnsi="Arial"/>
                <w:sz w:val="13"/>
                <w:szCs w:val="13"/>
                <w:color w:val="auto"/>
              </w:rPr>
              <w:t>Sales and distribution</w:t>
            </w:r>
          </w:p>
        </w:tc>
        <w:tc>
          <w:tcPr>
            <w:tcW w:w="1080" w:type="dxa"/>
            <w:vAlign w:val="bottom"/>
          </w:tcPr>
          <w:p>
            <w:pPr>
              <w:jc w:val="right"/>
              <w:ind w:right="117"/>
              <w:spacing w:after="0"/>
              <w:rPr>
                <w:sz w:val="20"/>
                <w:szCs w:val="20"/>
                <w:color w:val="auto"/>
              </w:rPr>
            </w:pPr>
            <w:r>
              <w:rPr>
                <w:rFonts w:ascii="Arial" w:cs="Arial" w:eastAsia="Arial" w:hAnsi="Arial"/>
                <w:sz w:val="13"/>
                <w:szCs w:val="13"/>
                <w:color w:val="auto"/>
              </w:rPr>
              <w:t>54,812</w:t>
            </w:r>
          </w:p>
        </w:tc>
        <w:tc>
          <w:tcPr>
            <w:tcW w:w="80" w:type="dxa"/>
            <w:vAlign w:val="bottom"/>
          </w:tcPr>
          <w:p>
            <w:pPr>
              <w:spacing w:after="0"/>
              <w:rPr>
                <w:sz w:val="17"/>
                <w:szCs w:val="17"/>
                <w:color w:val="auto"/>
              </w:rPr>
            </w:pPr>
          </w:p>
        </w:tc>
        <w:tc>
          <w:tcPr>
            <w:tcW w:w="1280" w:type="dxa"/>
            <w:vAlign w:val="bottom"/>
          </w:tcPr>
          <w:p>
            <w:pPr>
              <w:jc w:val="right"/>
              <w:ind w:right="117"/>
              <w:spacing w:after="0"/>
              <w:rPr>
                <w:sz w:val="20"/>
                <w:szCs w:val="20"/>
                <w:color w:val="auto"/>
              </w:rPr>
            </w:pPr>
            <w:r>
              <w:rPr>
                <w:rFonts w:ascii="Arial" w:cs="Arial" w:eastAsia="Arial" w:hAnsi="Arial"/>
                <w:sz w:val="13"/>
                <w:szCs w:val="13"/>
                <w:color w:val="auto"/>
              </w:rPr>
              <w:t>50,261</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9.1%</w:t>
            </w:r>
          </w:p>
        </w:tc>
        <w:tc>
          <w:tcPr>
            <w:tcW w:w="1220" w:type="dxa"/>
            <w:vAlign w:val="bottom"/>
          </w:tcPr>
          <w:p>
            <w:pPr>
              <w:jc w:val="right"/>
              <w:ind w:right="117"/>
              <w:spacing w:after="0"/>
              <w:rPr>
                <w:sz w:val="20"/>
                <w:szCs w:val="20"/>
                <w:color w:val="auto"/>
              </w:rPr>
            </w:pPr>
            <w:r>
              <w:rPr>
                <w:rFonts w:ascii="Arial" w:cs="Arial" w:eastAsia="Arial" w:hAnsi="Arial"/>
                <w:sz w:val="13"/>
                <w:szCs w:val="13"/>
                <w:color w:val="auto"/>
              </w:rPr>
              <w:t>55,604</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(1.4%)</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tcPr>
          <w:p>
            <w:pPr>
              <w:ind w:left="80"/>
              <w:spacing w:after="0"/>
              <w:rPr>
                <w:sz w:val="20"/>
                <w:szCs w:val="20"/>
                <w:color w:val="auto"/>
              </w:rPr>
            </w:pPr>
            <w:r>
              <w:rPr>
                <w:rFonts w:ascii="Arial" w:cs="Arial" w:eastAsia="Arial" w:hAnsi="Arial"/>
                <w:sz w:val="13"/>
                <w:szCs w:val="13"/>
                <w:color w:val="auto"/>
              </w:rPr>
              <w:t>Maintenance, materials and repairs</w:t>
            </w:r>
          </w:p>
        </w:tc>
        <w:tc>
          <w:tcPr>
            <w:tcW w:w="1080" w:type="dxa"/>
            <w:vAlign w:val="bottom"/>
          </w:tcPr>
          <w:p>
            <w:pPr>
              <w:jc w:val="right"/>
              <w:ind w:right="117"/>
              <w:spacing w:after="0"/>
              <w:rPr>
                <w:sz w:val="20"/>
                <w:szCs w:val="20"/>
                <w:color w:val="auto"/>
              </w:rPr>
            </w:pPr>
            <w:r>
              <w:rPr>
                <w:rFonts w:ascii="Arial" w:cs="Arial" w:eastAsia="Arial" w:hAnsi="Arial"/>
                <w:sz w:val="13"/>
                <w:szCs w:val="13"/>
                <w:color w:val="auto"/>
              </w:rPr>
              <w:t>46,612</w:t>
            </w:r>
          </w:p>
        </w:tc>
        <w:tc>
          <w:tcPr>
            <w:tcW w:w="80" w:type="dxa"/>
            <w:vAlign w:val="bottom"/>
          </w:tcPr>
          <w:p>
            <w:pPr>
              <w:spacing w:after="0"/>
              <w:rPr>
                <w:sz w:val="17"/>
                <w:szCs w:val="17"/>
                <w:color w:val="auto"/>
              </w:rPr>
            </w:pPr>
          </w:p>
        </w:tc>
        <w:tc>
          <w:tcPr>
            <w:tcW w:w="1280" w:type="dxa"/>
            <w:vAlign w:val="bottom"/>
          </w:tcPr>
          <w:p>
            <w:pPr>
              <w:jc w:val="right"/>
              <w:ind w:right="117"/>
              <w:spacing w:after="0"/>
              <w:rPr>
                <w:sz w:val="20"/>
                <w:szCs w:val="20"/>
                <w:color w:val="auto"/>
              </w:rPr>
            </w:pPr>
            <w:r>
              <w:rPr>
                <w:rFonts w:ascii="Arial" w:cs="Arial" w:eastAsia="Arial" w:hAnsi="Arial"/>
                <w:sz w:val="13"/>
                <w:szCs w:val="13"/>
                <w:color w:val="auto"/>
              </w:rPr>
              <w:t>39,434</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18.2%</w:t>
            </w:r>
          </w:p>
        </w:tc>
        <w:tc>
          <w:tcPr>
            <w:tcW w:w="1220" w:type="dxa"/>
            <w:vAlign w:val="bottom"/>
          </w:tcPr>
          <w:p>
            <w:pPr>
              <w:jc w:val="right"/>
              <w:ind w:right="117"/>
              <w:spacing w:after="0"/>
              <w:rPr>
                <w:sz w:val="20"/>
                <w:szCs w:val="20"/>
                <w:color w:val="auto"/>
              </w:rPr>
            </w:pPr>
            <w:r>
              <w:rPr>
                <w:rFonts w:ascii="Arial" w:cs="Arial" w:eastAsia="Arial" w:hAnsi="Arial"/>
                <w:sz w:val="13"/>
                <w:szCs w:val="13"/>
                <w:color w:val="auto"/>
              </w:rPr>
              <w:t>46,075</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1.2%</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tcPr>
          <w:p>
            <w:pPr>
              <w:ind w:left="80"/>
              <w:spacing w:after="0"/>
              <w:rPr>
                <w:sz w:val="20"/>
                <w:szCs w:val="20"/>
                <w:color w:val="auto"/>
              </w:rPr>
            </w:pPr>
            <w:r>
              <w:rPr>
                <w:rFonts w:ascii="Arial" w:cs="Arial" w:eastAsia="Arial" w:hAnsi="Arial"/>
                <w:sz w:val="13"/>
                <w:szCs w:val="13"/>
                <w:color w:val="auto"/>
              </w:rPr>
              <w:t>Depreciation and amortization</w:t>
            </w:r>
          </w:p>
        </w:tc>
        <w:tc>
          <w:tcPr>
            <w:tcW w:w="1080" w:type="dxa"/>
            <w:vAlign w:val="bottom"/>
          </w:tcPr>
          <w:p>
            <w:pPr>
              <w:jc w:val="right"/>
              <w:ind w:right="117"/>
              <w:spacing w:after="0"/>
              <w:rPr>
                <w:sz w:val="20"/>
                <w:szCs w:val="20"/>
                <w:color w:val="auto"/>
              </w:rPr>
            </w:pPr>
            <w:r>
              <w:rPr>
                <w:rFonts w:ascii="Arial" w:cs="Arial" w:eastAsia="Arial" w:hAnsi="Arial"/>
                <w:sz w:val="13"/>
                <w:szCs w:val="13"/>
                <w:color w:val="auto"/>
              </w:rPr>
              <w:t>100,726</w:t>
            </w:r>
          </w:p>
        </w:tc>
        <w:tc>
          <w:tcPr>
            <w:tcW w:w="80" w:type="dxa"/>
            <w:vAlign w:val="bottom"/>
          </w:tcPr>
          <w:p>
            <w:pPr>
              <w:spacing w:after="0"/>
              <w:rPr>
                <w:sz w:val="17"/>
                <w:szCs w:val="17"/>
                <w:color w:val="auto"/>
              </w:rPr>
            </w:pPr>
          </w:p>
        </w:tc>
        <w:tc>
          <w:tcPr>
            <w:tcW w:w="1280" w:type="dxa"/>
            <w:vAlign w:val="bottom"/>
          </w:tcPr>
          <w:p>
            <w:pPr>
              <w:jc w:val="right"/>
              <w:ind w:right="117"/>
              <w:spacing w:after="0"/>
              <w:rPr>
                <w:sz w:val="20"/>
                <w:szCs w:val="20"/>
                <w:color w:val="auto"/>
              </w:rPr>
            </w:pPr>
            <w:r>
              <w:rPr>
                <w:rFonts w:ascii="Arial" w:cs="Arial" w:eastAsia="Arial" w:hAnsi="Arial"/>
                <w:sz w:val="13"/>
                <w:szCs w:val="13"/>
                <w:color w:val="auto"/>
              </w:rPr>
              <w:t>86,284</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16.7%</w:t>
            </w:r>
          </w:p>
        </w:tc>
        <w:tc>
          <w:tcPr>
            <w:tcW w:w="1220" w:type="dxa"/>
            <w:vAlign w:val="bottom"/>
          </w:tcPr>
          <w:p>
            <w:pPr>
              <w:jc w:val="right"/>
              <w:ind w:right="117"/>
              <w:spacing w:after="0"/>
              <w:rPr>
                <w:sz w:val="20"/>
                <w:szCs w:val="20"/>
                <w:color w:val="auto"/>
              </w:rPr>
            </w:pPr>
            <w:r>
              <w:rPr>
                <w:rFonts w:ascii="Arial" w:cs="Arial" w:eastAsia="Arial" w:hAnsi="Arial"/>
                <w:sz w:val="13"/>
                <w:szCs w:val="13"/>
                <w:color w:val="auto"/>
              </w:rPr>
              <w:t>97,385</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3.4%</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tcPr>
          <w:p>
            <w:pPr>
              <w:ind w:left="80"/>
              <w:spacing w:after="0"/>
              <w:rPr>
                <w:sz w:val="20"/>
                <w:szCs w:val="20"/>
                <w:color w:val="auto"/>
              </w:rPr>
            </w:pPr>
            <w:r>
              <w:rPr>
                <w:rFonts w:ascii="Arial" w:cs="Arial" w:eastAsia="Arial" w:hAnsi="Arial"/>
                <w:sz w:val="13"/>
                <w:szCs w:val="13"/>
                <w:color w:val="auto"/>
              </w:rPr>
              <w:t>Flight operations</w:t>
            </w:r>
          </w:p>
        </w:tc>
        <w:tc>
          <w:tcPr>
            <w:tcW w:w="1080" w:type="dxa"/>
            <w:vAlign w:val="bottom"/>
          </w:tcPr>
          <w:p>
            <w:pPr>
              <w:jc w:val="right"/>
              <w:ind w:right="117"/>
              <w:spacing w:after="0"/>
              <w:rPr>
                <w:sz w:val="20"/>
                <w:szCs w:val="20"/>
                <w:color w:val="auto"/>
              </w:rPr>
            </w:pPr>
            <w:r>
              <w:rPr>
                <w:rFonts w:ascii="Arial" w:cs="Arial" w:eastAsia="Arial" w:hAnsi="Arial"/>
                <w:sz w:val="13"/>
                <w:szCs w:val="13"/>
                <w:color w:val="auto"/>
              </w:rPr>
              <w:t>41,104</w:t>
            </w:r>
          </w:p>
        </w:tc>
        <w:tc>
          <w:tcPr>
            <w:tcW w:w="80" w:type="dxa"/>
            <w:vAlign w:val="bottom"/>
          </w:tcPr>
          <w:p>
            <w:pPr>
              <w:spacing w:after="0"/>
              <w:rPr>
                <w:sz w:val="17"/>
                <w:szCs w:val="17"/>
                <w:color w:val="auto"/>
              </w:rPr>
            </w:pPr>
          </w:p>
        </w:tc>
        <w:tc>
          <w:tcPr>
            <w:tcW w:w="1280" w:type="dxa"/>
            <w:vAlign w:val="bottom"/>
          </w:tcPr>
          <w:p>
            <w:pPr>
              <w:jc w:val="right"/>
              <w:ind w:right="117"/>
              <w:spacing w:after="0"/>
              <w:rPr>
                <w:sz w:val="20"/>
                <w:szCs w:val="20"/>
                <w:color w:val="auto"/>
              </w:rPr>
            </w:pPr>
            <w:r>
              <w:rPr>
                <w:rFonts w:ascii="Arial" w:cs="Arial" w:eastAsia="Arial" w:hAnsi="Arial"/>
                <w:sz w:val="13"/>
                <w:szCs w:val="13"/>
                <w:color w:val="auto"/>
              </w:rPr>
              <w:t>33,749</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21.8%</w:t>
            </w:r>
          </w:p>
        </w:tc>
        <w:tc>
          <w:tcPr>
            <w:tcW w:w="1220" w:type="dxa"/>
            <w:vAlign w:val="bottom"/>
          </w:tcPr>
          <w:p>
            <w:pPr>
              <w:jc w:val="right"/>
              <w:ind w:right="117"/>
              <w:spacing w:after="0"/>
              <w:rPr>
                <w:sz w:val="20"/>
                <w:szCs w:val="20"/>
                <w:color w:val="auto"/>
              </w:rPr>
            </w:pPr>
            <w:r>
              <w:rPr>
                <w:rFonts w:ascii="Arial" w:cs="Arial" w:eastAsia="Arial" w:hAnsi="Arial"/>
                <w:sz w:val="13"/>
                <w:szCs w:val="13"/>
                <w:color w:val="auto"/>
              </w:rPr>
              <w:t>38,413</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7.0%</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560" w:type="dxa"/>
            <w:vAlign w:val="bottom"/>
          </w:tcPr>
          <w:p>
            <w:pPr>
              <w:ind w:left="80"/>
              <w:spacing w:after="0"/>
              <w:rPr>
                <w:sz w:val="20"/>
                <w:szCs w:val="20"/>
                <w:color w:val="auto"/>
              </w:rPr>
            </w:pPr>
            <w:r>
              <w:rPr>
                <w:rFonts w:ascii="Arial" w:cs="Arial" w:eastAsia="Arial" w:hAnsi="Arial"/>
                <w:sz w:val="13"/>
                <w:szCs w:val="13"/>
                <w:color w:val="auto"/>
              </w:rPr>
              <w:t>Other operating and administrative</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560" w:type="dxa"/>
            <w:vAlign w:val="bottom"/>
          </w:tcPr>
          <w:p>
            <w:pPr>
              <w:ind w:left="80"/>
              <w:spacing w:after="0"/>
              <w:rPr>
                <w:sz w:val="20"/>
                <w:szCs w:val="20"/>
                <w:color w:val="auto"/>
              </w:rPr>
            </w:pPr>
            <w:r>
              <w:rPr>
                <w:rFonts w:ascii="Arial" w:cs="Arial" w:eastAsia="Arial" w:hAnsi="Arial"/>
                <w:sz w:val="13"/>
                <w:szCs w:val="13"/>
                <w:color w:val="auto"/>
              </w:rPr>
              <w:t>expenses</w:t>
            </w:r>
          </w:p>
        </w:tc>
        <w:tc>
          <w:tcPr>
            <w:tcW w:w="1080" w:type="dxa"/>
            <w:vAlign w:val="bottom"/>
          </w:tcPr>
          <w:p>
            <w:pPr>
              <w:jc w:val="right"/>
              <w:ind w:right="117"/>
              <w:spacing w:after="0"/>
              <w:rPr>
                <w:sz w:val="20"/>
                <w:szCs w:val="20"/>
                <w:color w:val="auto"/>
              </w:rPr>
            </w:pPr>
            <w:r>
              <w:rPr>
                <w:rFonts w:ascii="Arial" w:cs="Arial" w:eastAsia="Arial" w:hAnsi="Arial"/>
                <w:sz w:val="13"/>
                <w:szCs w:val="13"/>
                <w:color w:val="auto"/>
              </w:rPr>
              <w:t>23,083</w:t>
            </w:r>
          </w:p>
        </w:tc>
        <w:tc>
          <w:tcPr>
            <w:tcW w:w="80" w:type="dxa"/>
            <w:vAlign w:val="bottom"/>
          </w:tcPr>
          <w:p>
            <w:pPr>
              <w:spacing w:after="0"/>
              <w:rPr>
                <w:sz w:val="14"/>
                <w:szCs w:val="14"/>
                <w:color w:val="auto"/>
              </w:rPr>
            </w:pPr>
          </w:p>
        </w:tc>
        <w:tc>
          <w:tcPr>
            <w:tcW w:w="1280" w:type="dxa"/>
            <w:vAlign w:val="bottom"/>
          </w:tcPr>
          <w:p>
            <w:pPr>
              <w:jc w:val="right"/>
              <w:ind w:right="117"/>
              <w:spacing w:after="0"/>
              <w:rPr>
                <w:sz w:val="20"/>
                <w:szCs w:val="20"/>
                <w:color w:val="auto"/>
              </w:rPr>
            </w:pPr>
            <w:r>
              <w:rPr>
                <w:rFonts w:ascii="Arial" w:cs="Arial" w:eastAsia="Arial" w:hAnsi="Arial"/>
                <w:sz w:val="13"/>
                <w:szCs w:val="13"/>
                <w:color w:val="auto"/>
              </w:rPr>
              <w:t>35,274</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(34.6%)</w:t>
            </w:r>
          </w:p>
        </w:tc>
        <w:tc>
          <w:tcPr>
            <w:tcW w:w="1220" w:type="dxa"/>
            <w:vAlign w:val="bottom"/>
          </w:tcPr>
          <w:p>
            <w:pPr>
              <w:jc w:val="right"/>
              <w:ind w:right="117"/>
              <w:spacing w:after="0"/>
              <w:rPr>
                <w:sz w:val="20"/>
                <w:szCs w:val="20"/>
                <w:color w:val="auto"/>
              </w:rPr>
            </w:pPr>
            <w:r>
              <w:rPr>
                <w:rFonts w:ascii="Arial" w:cs="Arial" w:eastAsia="Arial" w:hAnsi="Arial"/>
                <w:sz w:val="13"/>
                <w:szCs w:val="13"/>
                <w:color w:val="auto"/>
              </w:rPr>
              <w:t>32,221</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(28.4%)</w:t>
            </w: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560" w:type="dxa"/>
            <w:vAlign w:val="bottom"/>
            <w:vMerge w:val="restart"/>
          </w:tcPr>
          <w:p>
            <w:pPr>
              <w:spacing w:after="0"/>
              <w:rPr>
                <w:sz w:val="20"/>
                <w:szCs w:val="20"/>
                <w:color w:val="auto"/>
              </w:rPr>
            </w:pPr>
            <w:r>
              <w:rPr>
                <w:rFonts w:ascii="Arial" w:cs="Arial" w:eastAsia="Arial" w:hAnsi="Arial"/>
                <w:sz w:val="13"/>
                <w:szCs w:val="13"/>
                <w:b w:val="1"/>
                <w:bCs w:val="1"/>
                <w:color w:val="auto"/>
              </w:rPr>
              <w:t>Total Operating Expense</w:t>
            </w: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2560" w:type="dxa"/>
            <w:vAlign w:val="bottom"/>
            <w:vMerge w:val="continue"/>
          </w:tcPr>
          <w:p>
            <w:pPr>
              <w:spacing w:after="0"/>
              <w:rPr>
                <w:sz w:val="15"/>
                <w:szCs w:val="15"/>
                <w:color w:val="auto"/>
              </w:rPr>
            </w:pPr>
          </w:p>
        </w:tc>
        <w:tc>
          <w:tcPr>
            <w:tcW w:w="1080" w:type="dxa"/>
            <w:vAlign w:val="bottom"/>
          </w:tcPr>
          <w:p>
            <w:pPr>
              <w:jc w:val="right"/>
              <w:ind w:right="117"/>
              <w:spacing w:after="0"/>
              <w:rPr>
                <w:sz w:val="20"/>
                <w:szCs w:val="20"/>
                <w:color w:val="auto"/>
              </w:rPr>
            </w:pPr>
            <w:r>
              <w:rPr>
                <w:rFonts w:ascii="Arial" w:cs="Arial" w:eastAsia="Arial" w:hAnsi="Arial"/>
                <w:sz w:val="13"/>
                <w:szCs w:val="13"/>
                <w:b w:val="1"/>
                <w:bCs w:val="1"/>
                <w:color w:val="auto"/>
              </w:rPr>
              <w:t>793,787</w:t>
            </w:r>
          </w:p>
        </w:tc>
        <w:tc>
          <w:tcPr>
            <w:tcW w:w="80" w:type="dxa"/>
            <w:vAlign w:val="bottom"/>
          </w:tcPr>
          <w:p>
            <w:pPr>
              <w:spacing w:after="0"/>
              <w:rPr>
                <w:sz w:val="15"/>
                <w:szCs w:val="15"/>
                <w:color w:val="auto"/>
              </w:rPr>
            </w:pPr>
          </w:p>
        </w:tc>
        <w:tc>
          <w:tcPr>
            <w:tcW w:w="1280" w:type="dxa"/>
            <w:vAlign w:val="bottom"/>
          </w:tcPr>
          <w:p>
            <w:pPr>
              <w:jc w:val="right"/>
              <w:ind w:right="117"/>
              <w:spacing w:after="0"/>
              <w:rPr>
                <w:sz w:val="20"/>
                <w:szCs w:val="20"/>
                <w:color w:val="auto"/>
              </w:rPr>
            </w:pPr>
            <w:r>
              <w:rPr>
                <w:rFonts w:ascii="Arial" w:cs="Arial" w:eastAsia="Arial" w:hAnsi="Arial"/>
                <w:sz w:val="13"/>
                <w:szCs w:val="13"/>
                <w:b w:val="1"/>
                <w:bCs w:val="1"/>
                <w:color w:val="auto"/>
              </w:rPr>
              <w:t>685,360</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15.8%</w:t>
            </w:r>
          </w:p>
        </w:tc>
        <w:tc>
          <w:tcPr>
            <w:tcW w:w="1220" w:type="dxa"/>
            <w:vAlign w:val="bottom"/>
          </w:tcPr>
          <w:p>
            <w:pPr>
              <w:jc w:val="right"/>
              <w:ind w:right="117"/>
              <w:spacing w:after="0"/>
              <w:rPr>
                <w:sz w:val="20"/>
                <w:szCs w:val="20"/>
                <w:color w:val="auto"/>
              </w:rPr>
            </w:pPr>
            <w:r>
              <w:rPr>
                <w:rFonts w:ascii="Arial" w:cs="Arial" w:eastAsia="Arial" w:hAnsi="Arial"/>
                <w:sz w:val="13"/>
                <w:szCs w:val="13"/>
                <w:b w:val="1"/>
                <w:bCs w:val="1"/>
                <w:color w:val="auto"/>
              </w:rPr>
              <w:t>753,300</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5.4%</w:t>
            </w: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560" w:type="dxa"/>
            <w:vAlign w:val="bottom"/>
            <w:vMerge w:val="restart"/>
          </w:tcPr>
          <w:p>
            <w:pPr>
              <w:spacing w:after="0"/>
              <w:rPr>
                <w:sz w:val="20"/>
                <w:szCs w:val="20"/>
                <w:color w:val="auto"/>
              </w:rPr>
            </w:pPr>
            <w:r>
              <w:rPr>
                <w:rFonts w:ascii="Arial" w:cs="Arial" w:eastAsia="Arial" w:hAnsi="Arial"/>
                <w:sz w:val="13"/>
                <w:szCs w:val="13"/>
                <w:b w:val="1"/>
                <w:bCs w:val="1"/>
                <w:color w:val="auto"/>
              </w:rPr>
              <w:t>Operating Profit/(Loss)</w:t>
            </w:r>
          </w:p>
        </w:tc>
        <w:tc>
          <w:tcPr>
            <w:tcW w:w="108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258,636</w:t>
            </w:r>
          </w:p>
        </w:tc>
        <w:tc>
          <w:tcPr>
            <w:tcW w:w="80" w:type="dxa"/>
            <w:vAlign w:val="bottom"/>
          </w:tcPr>
          <w:p>
            <w:pPr>
              <w:spacing w:after="0"/>
              <w:rPr>
                <w:sz w:val="15"/>
                <w:szCs w:val="15"/>
                <w:color w:val="auto"/>
              </w:rPr>
            </w:pPr>
          </w:p>
        </w:tc>
        <w:tc>
          <w:tcPr>
            <w:tcW w:w="128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213,822</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2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209,588</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56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bottom w:val="single" w:sz="8" w:color="BFBFBF"/>
            </w:tcBorders>
            <w:shd w:val="clear" w:color="auto" w:fill="BFBFBF"/>
          </w:tcPr>
          <w:p>
            <w:pPr>
              <w:jc w:val="right"/>
              <w:spacing w:after="0"/>
              <w:rPr>
                <w:sz w:val="20"/>
                <w:szCs w:val="20"/>
                <w:color w:val="auto"/>
              </w:rPr>
            </w:pPr>
            <w:r>
              <w:rPr>
                <w:rFonts w:ascii="Arial" w:cs="Arial" w:eastAsia="Arial" w:hAnsi="Arial"/>
                <w:sz w:val="13"/>
                <w:szCs w:val="13"/>
                <w:color w:val="auto"/>
              </w:rPr>
              <w:t>21.0%</w:t>
            </w:r>
          </w:p>
        </w:tc>
        <w:tc>
          <w:tcPr>
            <w:tcW w:w="12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Borders>
              <w:bottom w:val="single" w:sz="8" w:color="BFBFBF"/>
            </w:tcBorders>
            <w:shd w:val="clear" w:color="auto" w:fill="BFBFBF"/>
          </w:tcPr>
          <w:p>
            <w:pPr>
              <w:jc w:val="right"/>
              <w:spacing w:after="0"/>
              <w:rPr>
                <w:sz w:val="20"/>
                <w:szCs w:val="20"/>
                <w:color w:val="auto"/>
              </w:rPr>
            </w:pPr>
            <w:r>
              <w:rPr>
                <w:rFonts w:ascii="Arial" w:cs="Arial" w:eastAsia="Arial" w:hAnsi="Arial"/>
                <w:sz w:val="13"/>
                <w:szCs w:val="13"/>
                <w:b w:val="1"/>
                <w:bCs w:val="1"/>
                <w:color w:val="auto"/>
              </w:rPr>
              <w:t>23.4%</w:t>
            </w:r>
          </w:p>
        </w:tc>
        <w:tc>
          <w:tcPr>
            <w:tcW w:w="20" w:type="dxa"/>
            <w:vAlign w:val="bottom"/>
            <w:tcBorders>
              <w:bottom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60" w:type="dxa"/>
            <w:vAlign w:val="bottom"/>
          </w:tcPr>
          <w:p>
            <w:pPr>
              <w:spacing w:after="0"/>
              <w:rPr>
                <w:sz w:val="20"/>
                <w:szCs w:val="20"/>
                <w:color w:val="auto"/>
              </w:rPr>
            </w:pPr>
            <w:r>
              <w:rPr>
                <w:rFonts w:ascii="Arial" w:cs="Arial" w:eastAsia="Arial" w:hAnsi="Arial"/>
                <w:sz w:val="13"/>
                <w:szCs w:val="13"/>
                <w:i w:val="1"/>
                <w:iCs w:val="1"/>
                <w:color w:val="auto"/>
              </w:rPr>
              <w:t>Operating Margin</w:t>
            </w:r>
          </w:p>
        </w:tc>
        <w:tc>
          <w:tcPr>
            <w:tcW w:w="1080" w:type="dxa"/>
            <w:vAlign w:val="bottom"/>
          </w:tcPr>
          <w:p>
            <w:pPr>
              <w:jc w:val="right"/>
              <w:spacing w:after="0"/>
              <w:rPr>
                <w:sz w:val="20"/>
                <w:szCs w:val="20"/>
                <w:color w:val="auto"/>
              </w:rPr>
            </w:pPr>
            <w:r>
              <w:rPr>
                <w:rFonts w:ascii="Arial" w:cs="Arial" w:eastAsia="Arial" w:hAnsi="Arial"/>
                <w:sz w:val="13"/>
                <w:szCs w:val="13"/>
                <w:i w:val="1"/>
                <w:iCs w:val="1"/>
                <w:color w:val="auto"/>
              </w:rPr>
              <w:t>24.6 %</w:t>
            </w:r>
          </w:p>
        </w:tc>
        <w:tc>
          <w:tcPr>
            <w:tcW w:w="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3"/>
                <w:szCs w:val="13"/>
                <w:i w:val="1"/>
                <w:iCs w:val="1"/>
                <w:color w:val="auto"/>
              </w:rPr>
              <w:t>23.8 %</w:t>
            </w:r>
          </w:p>
        </w:tc>
        <w:tc>
          <w:tcPr>
            <w:tcW w:w="100" w:type="dxa"/>
            <w:vAlign w:val="bottom"/>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3"/>
                <w:szCs w:val="13"/>
                <w:i w:val="1"/>
                <w:iCs w:val="1"/>
                <w:color w:val="auto"/>
              </w:rPr>
              <w:t>0.8 p.p</w:t>
            </w:r>
          </w:p>
        </w:tc>
        <w:tc>
          <w:tcPr>
            <w:tcW w:w="1220" w:type="dxa"/>
            <w:vAlign w:val="bottom"/>
          </w:tcPr>
          <w:p>
            <w:pPr>
              <w:jc w:val="right"/>
              <w:spacing w:after="0"/>
              <w:rPr>
                <w:sz w:val="20"/>
                <w:szCs w:val="20"/>
                <w:color w:val="auto"/>
              </w:rPr>
            </w:pPr>
            <w:r>
              <w:rPr>
                <w:rFonts w:ascii="Arial" w:cs="Arial" w:eastAsia="Arial" w:hAnsi="Arial"/>
                <w:sz w:val="13"/>
                <w:szCs w:val="13"/>
                <w:i w:val="1"/>
                <w:iCs w:val="1"/>
                <w:color w:val="auto"/>
              </w:rPr>
              <w:t>21.8 %</w:t>
            </w:r>
          </w:p>
        </w:tc>
        <w:tc>
          <w:tcPr>
            <w:tcW w:w="100" w:type="dxa"/>
            <w:vAlign w:val="bottom"/>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3"/>
                <w:szCs w:val="13"/>
                <w:i w:val="1"/>
                <w:iCs w:val="1"/>
                <w:color w:val="auto"/>
              </w:rPr>
              <w:t>2.8 p.p</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329"/>
        </w:trPr>
        <w:tc>
          <w:tcPr>
            <w:tcW w:w="2560" w:type="dxa"/>
            <w:vAlign w:val="bottom"/>
          </w:tcPr>
          <w:p>
            <w:pPr>
              <w:spacing w:after="0"/>
              <w:rPr>
                <w:sz w:val="20"/>
                <w:szCs w:val="20"/>
                <w:color w:val="auto"/>
              </w:rPr>
            </w:pPr>
            <w:r>
              <w:rPr>
                <w:rFonts w:ascii="Arial" w:cs="Arial" w:eastAsia="Arial" w:hAnsi="Arial"/>
                <w:sz w:val="13"/>
                <w:szCs w:val="13"/>
                <w:b w:val="1"/>
                <w:bCs w:val="1"/>
                <w:color w:val="auto"/>
              </w:rPr>
              <w:t>Non-operating Income (Expense):</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560" w:type="dxa"/>
            <w:vAlign w:val="bottom"/>
          </w:tcPr>
          <w:p>
            <w:pPr>
              <w:ind w:left="80"/>
              <w:spacing w:after="0"/>
              <w:rPr>
                <w:sz w:val="20"/>
                <w:szCs w:val="20"/>
                <w:color w:val="auto"/>
              </w:rPr>
            </w:pPr>
            <w:r>
              <w:rPr>
                <w:rFonts w:ascii="Arial" w:cs="Arial" w:eastAsia="Arial" w:hAnsi="Arial"/>
                <w:sz w:val="13"/>
                <w:szCs w:val="13"/>
                <w:color w:val="auto"/>
              </w:rPr>
              <w:t>Finance cost</w:t>
            </w: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(25,837)</w:t>
            </w:r>
          </w:p>
        </w:tc>
        <w:tc>
          <w:tcPr>
            <w:tcW w:w="80" w:type="dxa"/>
            <w:vAlign w:val="bottom"/>
          </w:tcPr>
          <w:p>
            <w:pPr>
              <w:spacing w:after="0"/>
              <w:rPr>
                <w:sz w:val="15"/>
                <w:szCs w:val="15"/>
                <w:color w:val="auto"/>
              </w:rPr>
            </w:pPr>
          </w:p>
        </w:tc>
        <w:tc>
          <w:tcPr>
            <w:tcW w:w="1280" w:type="dxa"/>
            <w:vAlign w:val="bottom"/>
          </w:tcPr>
          <w:p>
            <w:pPr>
              <w:jc w:val="right"/>
              <w:ind w:right="77"/>
              <w:spacing w:after="0"/>
              <w:rPr>
                <w:sz w:val="20"/>
                <w:szCs w:val="20"/>
                <w:color w:val="auto"/>
              </w:rPr>
            </w:pPr>
            <w:r>
              <w:rPr>
                <w:rFonts w:ascii="Arial" w:cs="Arial" w:eastAsia="Arial" w:hAnsi="Arial"/>
                <w:sz w:val="13"/>
                <w:szCs w:val="13"/>
                <w:color w:val="auto"/>
              </w:rPr>
              <w:t>(23,233)</w:t>
            </w:r>
          </w:p>
        </w:tc>
        <w:tc>
          <w:tcPr>
            <w:tcW w:w="100" w:type="dxa"/>
            <w:vAlign w:val="bottom"/>
          </w:tcPr>
          <w:p>
            <w:pPr>
              <w:spacing w:after="0"/>
              <w:rPr>
                <w:sz w:val="15"/>
                <w:szCs w:val="15"/>
                <w:color w:val="auto"/>
              </w:rPr>
            </w:pPr>
          </w:p>
        </w:tc>
        <w:tc>
          <w:tcPr>
            <w:tcW w:w="1000" w:type="dxa"/>
            <w:vAlign w:val="bottom"/>
            <w:tcBorders>
              <w:bottom w:val="single" w:sz="8" w:color="BFBFBF"/>
            </w:tcBorders>
            <w:shd w:val="clear" w:color="auto" w:fill="BFBFBF"/>
          </w:tcPr>
          <w:p>
            <w:pPr>
              <w:jc w:val="right"/>
              <w:spacing w:after="0"/>
              <w:rPr>
                <w:sz w:val="20"/>
                <w:szCs w:val="20"/>
                <w:color w:val="auto"/>
              </w:rPr>
            </w:pPr>
            <w:r>
              <w:rPr>
                <w:rFonts w:ascii="Arial" w:cs="Arial" w:eastAsia="Arial" w:hAnsi="Arial"/>
                <w:sz w:val="13"/>
                <w:szCs w:val="13"/>
                <w:color w:val="auto"/>
              </w:rPr>
              <w:t>11.2%</w:t>
            </w:r>
          </w:p>
        </w:tc>
        <w:tc>
          <w:tcPr>
            <w:tcW w:w="1220" w:type="dxa"/>
            <w:vAlign w:val="bottom"/>
          </w:tcPr>
          <w:p>
            <w:pPr>
              <w:jc w:val="right"/>
              <w:ind w:right="77"/>
              <w:spacing w:after="0"/>
              <w:rPr>
                <w:sz w:val="20"/>
                <w:szCs w:val="20"/>
                <w:color w:val="auto"/>
              </w:rPr>
            </w:pPr>
            <w:r>
              <w:rPr>
                <w:rFonts w:ascii="Arial" w:cs="Arial" w:eastAsia="Arial" w:hAnsi="Arial"/>
                <w:sz w:val="13"/>
                <w:szCs w:val="13"/>
                <w:color w:val="auto"/>
              </w:rPr>
              <w:t>(27,478)</w:t>
            </w:r>
          </w:p>
        </w:tc>
        <w:tc>
          <w:tcPr>
            <w:tcW w:w="100" w:type="dxa"/>
            <w:vAlign w:val="bottom"/>
          </w:tcPr>
          <w:p>
            <w:pPr>
              <w:spacing w:after="0"/>
              <w:rPr>
                <w:sz w:val="15"/>
                <w:szCs w:val="15"/>
                <w:color w:val="auto"/>
              </w:rPr>
            </w:pPr>
          </w:p>
        </w:tc>
        <w:tc>
          <w:tcPr>
            <w:tcW w:w="1020" w:type="dxa"/>
            <w:vAlign w:val="bottom"/>
            <w:tcBorders>
              <w:bottom w:val="single" w:sz="8" w:color="BFBFBF"/>
            </w:tcBorders>
            <w:shd w:val="clear" w:color="auto" w:fill="BFBFBF"/>
          </w:tcPr>
          <w:p>
            <w:pPr>
              <w:jc w:val="right"/>
              <w:spacing w:after="0"/>
              <w:rPr>
                <w:sz w:val="20"/>
                <w:szCs w:val="20"/>
                <w:color w:val="auto"/>
              </w:rPr>
            </w:pPr>
            <w:r>
              <w:rPr>
                <w:rFonts w:ascii="Arial" w:cs="Arial" w:eastAsia="Arial" w:hAnsi="Arial"/>
                <w:sz w:val="13"/>
                <w:szCs w:val="13"/>
                <w:color w:val="auto"/>
              </w:rPr>
              <w:t>(6.0%)</w:t>
            </w:r>
          </w:p>
        </w:tc>
        <w:tc>
          <w:tcPr>
            <w:tcW w:w="20" w:type="dxa"/>
            <w:vAlign w:val="bottom"/>
            <w:tcBorders>
              <w:bottom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60" w:type="dxa"/>
            <w:vAlign w:val="bottom"/>
          </w:tcPr>
          <w:p>
            <w:pPr>
              <w:ind w:left="80"/>
              <w:spacing w:after="0"/>
              <w:rPr>
                <w:sz w:val="20"/>
                <w:szCs w:val="20"/>
                <w:color w:val="auto"/>
              </w:rPr>
            </w:pPr>
            <w:r>
              <w:rPr>
                <w:rFonts w:ascii="Arial" w:cs="Arial" w:eastAsia="Arial" w:hAnsi="Arial"/>
                <w:sz w:val="13"/>
                <w:szCs w:val="13"/>
                <w:color w:val="auto"/>
              </w:rPr>
              <w:t>Finance income</w:t>
            </w:r>
          </w:p>
        </w:tc>
        <w:tc>
          <w:tcPr>
            <w:tcW w:w="1080" w:type="dxa"/>
            <w:vAlign w:val="bottom"/>
          </w:tcPr>
          <w:p>
            <w:pPr>
              <w:jc w:val="right"/>
              <w:ind w:right="117"/>
              <w:spacing w:after="0"/>
              <w:rPr>
                <w:sz w:val="20"/>
                <w:szCs w:val="20"/>
                <w:color w:val="auto"/>
              </w:rPr>
            </w:pPr>
            <w:r>
              <w:rPr>
                <w:rFonts w:ascii="Arial" w:cs="Arial" w:eastAsia="Arial" w:hAnsi="Arial"/>
                <w:sz w:val="13"/>
                <w:szCs w:val="13"/>
                <w:color w:val="auto"/>
              </w:rPr>
              <w:t>16,083</w:t>
            </w:r>
          </w:p>
        </w:tc>
        <w:tc>
          <w:tcPr>
            <w:tcW w:w="80" w:type="dxa"/>
            <w:vAlign w:val="bottom"/>
          </w:tcPr>
          <w:p>
            <w:pPr>
              <w:spacing w:after="0"/>
              <w:rPr>
                <w:sz w:val="15"/>
                <w:szCs w:val="15"/>
                <w:color w:val="auto"/>
              </w:rPr>
            </w:pPr>
          </w:p>
        </w:tc>
        <w:tc>
          <w:tcPr>
            <w:tcW w:w="1280" w:type="dxa"/>
            <w:vAlign w:val="bottom"/>
          </w:tcPr>
          <w:p>
            <w:pPr>
              <w:jc w:val="right"/>
              <w:ind w:right="117"/>
              <w:spacing w:after="0"/>
              <w:rPr>
                <w:sz w:val="20"/>
                <w:szCs w:val="20"/>
                <w:color w:val="auto"/>
              </w:rPr>
            </w:pPr>
            <w:r>
              <w:rPr>
                <w:rFonts w:ascii="Arial" w:cs="Arial" w:eastAsia="Arial" w:hAnsi="Arial"/>
                <w:sz w:val="13"/>
                <w:szCs w:val="13"/>
                <w:color w:val="auto"/>
              </w:rPr>
              <w:t>15,792</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1.8%</w:t>
            </w:r>
          </w:p>
        </w:tc>
        <w:tc>
          <w:tcPr>
            <w:tcW w:w="1220" w:type="dxa"/>
            <w:vAlign w:val="bottom"/>
          </w:tcPr>
          <w:p>
            <w:pPr>
              <w:jc w:val="right"/>
              <w:ind w:right="117"/>
              <w:spacing w:after="0"/>
              <w:rPr>
                <w:sz w:val="20"/>
                <w:szCs w:val="20"/>
                <w:color w:val="auto"/>
              </w:rPr>
            </w:pPr>
            <w:r>
              <w:rPr>
                <w:rFonts w:ascii="Arial" w:cs="Arial" w:eastAsia="Arial" w:hAnsi="Arial"/>
                <w:sz w:val="13"/>
                <w:szCs w:val="13"/>
                <w:color w:val="auto"/>
              </w:rPr>
              <w:t>16,545</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(2.8%)</w:t>
            </w: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560" w:type="dxa"/>
            <w:vAlign w:val="bottom"/>
            <w:vMerge w:val="restart"/>
          </w:tcPr>
          <w:p>
            <w:pPr>
              <w:ind w:left="80"/>
              <w:spacing w:after="0"/>
              <w:rPr>
                <w:sz w:val="20"/>
                <w:szCs w:val="20"/>
                <w:color w:val="auto"/>
              </w:rPr>
            </w:pPr>
            <w:r>
              <w:rPr>
                <w:rFonts w:ascii="Arial" w:cs="Arial" w:eastAsia="Arial" w:hAnsi="Arial"/>
                <w:sz w:val="13"/>
                <w:szCs w:val="13"/>
                <w:color w:val="auto"/>
              </w:rPr>
              <w:t>Gain (loss) on foreign currency</w:t>
            </w: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5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shd w:val="clear" w:color="auto" w:fill="BFBFB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560" w:type="dxa"/>
            <w:vAlign w:val="bottom"/>
          </w:tcPr>
          <w:p>
            <w:pPr>
              <w:ind w:left="80"/>
              <w:spacing w:after="0"/>
              <w:rPr>
                <w:sz w:val="20"/>
                <w:szCs w:val="20"/>
                <w:color w:val="auto"/>
              </w:rPr>
            </w:pPr>
            <w:r>
              <w:rPr>
                <w:rFonts w:ascii="Arial" w:cs="Arial" w:eastAsia="Arial" w:hAnsi="Arial"/>
                <w:sz w:val="13"/>
                <w:szCs w:val="13"/>
                <w:color w:val="auto"/>
              </w:rPr>
              <w:t>fluctuations</w:t>
            </w:r>
          </w:p>
        </w:tc>
        <w:tc>
          <w:tcPr>
            <w:tcW w:w="1080" w:type="dxa"/>
            <w:vAlign w:val="bottom"/>
          </w:tcPr>
          <w:p>
            <w:pPr>
              <w:jc w:val="right"/>
              <w:ind w:right="117"/>
              <w:spacing w:after="0"/>
              <w:rPr>
                <w:sz w:val="20"/>
                <w:szCs w:val="20"/>
                <w:color w:val="auto"/>
              </w:rPr>
            </w:pPr>
            <w:r>
              <w:rPr>
                <w:rFonts w:ascii="Arial" w:cs="Arial" w:eastAsia="Arial" w:hAnsi="Arial"/>
                <w:sz w:val="13"/>
                <w:szCs w:val="13"/>
                <w:color w:val="auto"/>
              </w:rPr>
              <w:t>1,518</w:t>
            </w:r>
          </w:p>
        </w:tc>
        <w:tc>
          <w:tcPr>
            <w:tcW w:w="80" w:type="dxa"/>
            <w:vAlign w:val="bottom"/>
          </w:tcPr>
          <w:p>
            <w:pPr>
              <w:spacing w:after="0"/>
              <w:rPr>
                <w:sz w:val="14"/>
                <w:szCs w:val="14"/>
                <w:color w:val="auto"/>
              </w:rPr>
            </w:pPr>
          </w:p>
        </w:tc>
        <w:tc>
          <w:tcPr>
            <w:tcW w:w="1280" w:type="dxa"/>
            <w:vAlign w:val="bottom"/>
          </w:tcPr>
          <w:p>
            <w:pPr>
              <w:jc w:val="right"/>
              <w:ind w:right="117"/>
              <w:spacing w:after="0"/>
              <w:rPr>
                <w:sz w:val="20"/>
                <w:szCs w:val="20"/>
                <w:color w:val="auto"/>
              </w:rPr>
            </w:pPr>
            <w:r>
              <w:rPr>
                <w:rFonts w:ascii="Arial" w:cs="Arial" w:eastAsia="Arial" w:hAnsi="Arial"/>
                <w:sz w:val="13"/>
                <w:szCs w:val="13"/>
                <w:color w:val="auto"/>
              </w:rPr>
              <w:t>1,370</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10.8%</w:t>
            </w:r>
          </w:p>
        </w:tc>
        <w:tc>
          <w:tcPr>
            <w:tcW w:w="1220" w:type="dxa"/>
            <w:vAlign w:val="bottom"/>
          </w:tcPr>
          <w:p>
            <w:pPr>
              <w:jc w:val="right"/>
              <w:ind w:right="77"/>
              <w:spacing w:after="0"/>
              <w:rPr>
                <w:sz w:val="20"/>
                <w:szCs w:val="20"/>
                <w:color w:val="auto"/>
              </w:rPr>
            </w:pPr>
            <w:r>
              <w:rPr>
                <w:rFonts w:ascii="Arial" w:cs="Arial" w:eastAsia="Arial" w:hAnsi="Arial"/>
                <w:sz w:val="13"/>
                <w:szCs w:val="13"/>
                <w:color w:val="auto"/>
              </w:rPr>
              <w:t>(6,021)</w:t>
            </w:r>
          </w:p>
        </w:tc>
        <w:tc>
          <w:tcPr>
            <w:tcW w:w="100" w:type="dxa"/>
            <w:vAlign w:val="bottom"/>
          </w:tcPr>
          <w:p>
            <w:pPr>
              <w:spacing w:after="0"/>
              <w:rPr>
                <w:sz w:val="14"/>
                <w:szCs w:val="14"/>
                <w:color w:val="auto"/>
              </w:rPr>
            </w:pPr>
          </w:p>
        </w:tc>
        <w:tc>
          <w:tcPr>
            <w:tcW w:w="1020" w:type="dxa"/>
            <w:vAlign w:val="bottom"/>
            <w:shd w:val="clear" w:color="auto" w:fill="BFBFBF"/>
          </w:tcPr>
          <w:p>
            <w:pPr>
              <w:jc w:val="right"/>
              <w:spacing w:after="0"/>
              <w:rPr>
                <w:sz w:val="20"/>
                <w:szCs w:val="20"/>
                <w:color w:val="auto"/>
              </w:rPr>
            </w:pPr>
            <w:r>
              <w:rPr>
                <w:rFonts w:ascii="Arial" w:cs="Arial" w:eastAsia="Arial" w:hAnsi="Arial"/>
                <w:sz w:val="13"/>
                <w:szCs w:val="13"/>
                <w:color w:val="auto"/>
              </w:rPr>
              <w:t>nm</w:t>
            </w: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560" w:type="dxa"/>
            <w:vAlign w:val="bottom"/>
          </w:tcPr>
          <w:p>
            <w:pPr>
              <w:ind w:left="80"/>
              <w:spacing w:after="0"/>
              <w:rPr>
                <w:sz w:val="20"/>
                <w:szCs w:val="20"/>
                <w:color w:val="auto"/>
              </w:rPr>
            </w:pPr>
            <w:r>
              <w:rPr>
                <w:rFonts w:ascii="Arial" w:cs="Arial" w:eastAsia="Arial" w:hAnsi="Arial"/>
                <w:sz w:val="13"/>
                <w:szCs w:val="13"/>
                <w:color w:val="auto"/>
              </w:rPr>
              <w:t>Net change in fair value of derivatives</w:t>
            </w: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(1,066)</w:t>
            </w:r>
          </w:p>
        </w:tc>
        <w:tc>
          <w:tcPr>
            <w:tcW w:w="80" w:type="dxa"/>
            <w:vAlign w:val="bottom"/>
          </w:tcPr>
          <w:p>
            <w:pPr>
              <w:spacing w:after="0"/>
              <w:rPr>
                <w:sz w:val="17"/>
                <w:szCs w:val="17"/>
                <w:color w:val="auto"/>
              </w:rPr>
            </w:pPr>
          </w:p>
        </w:tc>
        <w:tc>
          <w:tcPr>
            <w:tcW w:w="1280" w:type="dxa"/>
            <w:vAlign w:val="bottom"/>
          </w:tcPr>
          <w:p>
            <w:pPr>
              <w:jc w:val="right"/>
              <w:ind w:right="77"/>
              <w:spacing w:after="0"/>
              <w:rPr>
                <w:sz w:val="20"/>
                <w:szCs w:val="20"/>
                <w:color w:val="auto"/>
              </w:rPr>
            </w:pPr>
            <w:r>
              <w:rPr>
                <w:rFonts w:ascii="Arial" w:cs="Arial" w:eastAsia="Arial" w:hAnsi="Arial"/>
                <w:sz w:val="13"/>
                <w:szCs w:val="13"/>
                <w:color w:val="auto"/>
              </w:rPr>
              <w:t>(2,434)</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(56.2%)</w:t>
            </w:r>
          </w:p>
        </w:tc>
        <w:tc>
          <w:tcPr>
            <w:tcW w:w="1220" w:type="dxa"/>
            <w:vAlign w:val="bottom"/>
          </w:tcPr>
          <w:p>
            <w:pPr>
              <w:jc w:val="right"/>
              <w:ind w:right="117"/>
              <w:spacing w:after="0"/>
              <w:rPr>
                <w:sz w:val="20"/>
                <w:szCs w:val="20"/>
                <w:color w:val="auto"/>
              </w:rPr>
            </w:pPr>
            <w:r>
              <w:rPr>
                <w:rFonts w:ascii="Arial" w:cs="Arial" w:eastAsia="Arial" w:hAnsi="Arial"/>
                <w:sz w:val="13"/>
                <w:szCs w:val="13"/>
                <w:color w:val="auto"/>
              </w:rPr>
              <w:t>178</w:t>
            </w:r>
          </w:p>
        </w:tc>
        <w:tc>
          <w:tcPr>
            <w:tcW w:w="100" w:type="dxa"/>
            <w:vAlign w:val="bottom"/>
          </w:tcPr>
          <w:p>
            <w:pPr>
              <w:spacing w:after="0"/>
              <w:rPr>
                <w:sz w:val="17"/>
                <w:szCs w:val="17"/>
                <w:color w:val="auto"/>
              </w:rPr>
            </w:pPr>
          </w:p>
        </w:tc>
        <w:tc>
          <w:tcPr>
            <w:tcW w:w="1020" w:type="dxa"/>
            <w:vAlign w:val="bottom"/>
            <w:shd w:val="clear" w:color="auto" w:fill="BFBFBF"/>
          </w:tcPr>
          <w:p>
            <w:pPr>
              <w:jc w:val="right"/>
              <w:spacing w:after="0"/>
              <w:rPr>
                <w:sz w:val="20"/>
                <w:szCs w:val="20"/>
                <w:color w:val="auto"/>
              </w:rPr>
            </w:pPr>
            <w:r>
              <w:rPr>
                <w:rFonts w:ascii="Arial" w:cs="Arial" w:eastAsia="Arial" w:hAnsi="Arial"/>
                <w:sz w:val="13"/>
                <w:szCs w:val="13"/>
                <w:color w:val="auto"/>
              </w:rPr>
              <w:t>nm</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2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shd w:val="clear" w:color="auto" w:fill="BFBFBF"/>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560" w:type="dxa"/>
            <w:vAlign w:val="bottom"/>
          </w:tcPr>
          <w:p>
            <w:pPr>
              <w:ind w:left="80"/>
              <w:spacing w:after="0"/>
              <w:rPr>
                <w:sz w:val="20"/>
                <w:szCs w:val="20"/>
                <w:color w:val="auto"/>
              </w:rPr>
            </w:pPr>
            <w:r>
              <w:rPr>
                <w:rFonts w:ascii="Arial" w:cs="Arial" w:eastAsia="Arial" w:hAnsi="Arial"/>
                <w:sz w:val="13"/>
                <w:szCs w:val="13"/>
                <w:color w:val="auto"/>
              </w:rPr>
              <w:t>Other non-operating income (expense)</w:t>
            </w: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(2,279)</w:t>
            </w:r>
          </w:p>
        </w:tc>
        <w:tc>
          <w:tcPr>
            <w:tcW w:w="80" w:type="dxa"/>
            <w:vAlign w:val="bottom"/>
          </w:tcPr>
          <w:p>
            <w:pPr>
              <w:spacing w:after="0"/>
              <w:rPr>
                <w:sz w:val="17"/>
                <w:szCs w:val="17"/>
                <w:color w:val="auto"/>
              </w:rPr>
            </w:pPr>
          </w:p>
        </w:tc>
        <w:tc>
          <w:tcPr>
            <w:tcW w:w="1280" w:type="dxa"/>
            <w:vAlign w:val="bottom"/>
          </w:tcPr>
          <w:p>
            <w:pPr>
              <w:jc w:val="right"/>
              <w:ind w:right="117"/>
              <w:spacing w:after="0"/>
              <w:rPr>
                <w:sz w:val="20"/>
                <w:szCs w:val="20"/>
                <w:color w:val="auto"/>
              </w:rPr>
            </w:pPr>
            <w:r>
              <w:rPr>
                <w:rFonts w:ascii="Arial" w:cs="Arial" w:eastAsia="Arial" w:hAnsi="Arial"/>
                <w:sz w:val="13"/>
                <w:szCs w:val="13"/>
                <w:color w:val="auto"/>
              </w:rPr>
              <w:t>1,428</w:t>
            </w:r>
          </w:p>
        </w:tc>
        <w:tc>
          <w:tcPr>
            <w:tcW w:w="100" w:type="dxa"/>
            <w:vAlign w:val="bottom"/>
          </w:tcPr>
          <w:p>
            <w:pPr>
              <w:spacing w:after="0"/>
              <w:rPr>
                <w:sz w:val="17"/>
                <w:szCs w:val="17"/>
                <w:color w:val="auto"/>
              </w:rPr>
            </w:pPr>
          </w:p>
        </w:tc>
        <w:tc>
          <w:tcPr>
            <w:tcW w:w="1000" w:type="dxa"/>
            <w:vAlign w:val="bottom"/>
            <w:tcBorders>
              <w:bottom w:val="single" w:sz="8" w:color="BFBFBF"/>
            </w:tcBorders>
            <w:shd w:val="clear" w:color="auto" w:fill="BFBFBF"/>
          </w:tcPr>
          <w:p>
            <w:pPr>
              <w:jc w:val="right"/>
              <w:spacing w:after="0"/>
              <w:rPr>
                <w:sz w:val="20"/>
                <w:szCs w:val="20"/>
                <w:color w:val="auto"/>
              </w:rPr>
            </w:pPr>
            <w:r>
              <w:rPr>
                <w:rFonts w:ascii="Arial" w:cs="Arial" w:eastAsia="Arial" w:hAnsi="Arial"/>
                <w:sz w:val="13"/>
                <w:szCs w:val="13"/>
                <w:color w:val="auto"/>
              </w:rPr>
              <w:t>nm</w:t>
            </w:r>
          </w:p>
        </w:tc>
        <w:tc>
          <w:tcPr>
            <w:tcW w:w="1220" w:type="dxa"/>
            <w:vAlign w:val="bottom"/>
          </w:tcPr>
          <w:p>
            <w:pPr>
              <w:jc w:val="right"/>
              <w:ind w:right="77"/>
              <w:spacing w:after="0"/>
              <w:rPr>
                <w:sz w:val="20"/>
                <w:szCs w:val="20"/>
                <w:color w:val="auto"/>
              </w:rPr>
            </w:pPr>
            <w:r>
              <w:rPr>
                <w:rFonts w:ascii="Arial" w:cs="Arial" w:eastAsia="Arial" w:hAnsi="Arial"/>
                <w:sz w:val="13"/>
                <w:szCs w:val="13"/>
                <w:color w:val="auto"/>
              </w:rPr>
              <w:t>(857)</w:t>
            </w:r>
          </w:p>
        </w:tc>
        <w:tc>
          <w:tcPr>
            <w:tcW w:w="100" w:type="dxa"/>
            <w:vAlign w:val="bottom"/>
          </w:tcPr>
          <w:p>
            <w:pPr>
              <w:spacing w:after="0"/>
              <w:rPr>
                <w:sz w:val="17"/>
                <w:szCs w:val="17"/>
                <w:color w:val="auto"/>
              </w:rPr>
            </w:pPr>
          </w:p>
        </w:tc>
        <w:tc>
          <w:tcPr>
            <w:tcW w:w="1020" w:type="dxa"/>
            <w:vAlign w:val="bottom"/>
            <w:tcBorders>
              <w:bottom w:val="single" w:sz="8" w:color="BFBFBF"/>
            </w:tcBorders>
            <w:shd w:val="clear" w:color="auto" w:fill="BFBFBF"/>
          </w:tcPr>
          <w:p>
            <w:pPr>
              <w:jc w:val="right"/>
              <w:spacing w:after="0"/>
              <w:rPr>
                <w:sz w:val="20"/>
                <w:szCs w:val="20"/>
                <w:color w:val="auto"/>
              </w:rPr>
            </w:pPr>
            <w:r>
              <w:rPr>
                <w:rFonts w:ascii="Arial" w:cs="Arial" w:eastAsia="Arial" w:hAnsi="Arial"/>
                <w:sz w:val="13"/>
                <w:szCs w:val="13"/>
                <w:color w:val="auto"/>
              </w:rPr>
              <w:t>166.0%</w:t>
            </w: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60" w:type="dxa"/>
            <w:vAlign w:val="bottom"/>
          </w:tcPr>
          <w:p>
            <w:pPr>
              <w:spacing w:after="0"/>
              <w:rPr>
                <w:sz w:val="20"/>
                <w:szCs w:val="20"/>
                <w:color w:val="auto"/>
              </w:rPr>
            </w:pPr>
            <w:r>
              <w:rPr>
                <w:rFonts w:ascii="Arial" w:cs="Arial" w:eastAsia="Arial" w:hAnsi="Arial"/>
                <w:sz w:val="13"/>
                <w:szCs w:val="13"/>
                <w:b w:val="1"/>
                <w:bCs w:val="1"/>
                <w:color w:val="auto"/>
              </w:rPr>
              <w:t>Total Non-Operating Income/(Expense)</w:t>
            </w:r>
          </w:p>
        </w:tc>
        <w:tc>
          <w:tcPr>
            <w:tcW w:w="108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(11,581)</w:t>
            </w:r>
          </w:p>
        </w:tc>
        <w:tc>
          <w:tcPr>
            <w:tcW w:w="80" w:type="dxa"/>
            <w:vAlign w:val="bottom"/>
          </w:tcPr>
          <w:p>
            <w:pPr>
              <w:spacing w:after="0"/>
              <w:rPr>
                <w:sz w:val="17"/>
                <w:szCs w:val="17"/>
                <w:color w:val="auto"/>
              </w:rPr>
            </w:pPr>
          </w:p>
        </w:tc>
        <w:tc>
          <w:tcPr>
            <w:tcW w:w="128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(7,077)</w:t>
            </w:r>
          </w:p>
        </w:tc>
        <w:tc>
          <w:tcPr>
            <w:tcW w:w="100" w:type="dxa"/>
            <w:vAlign w:val="bottom"/>
          </w:tcPr>
          <w:p>
            <w:pPr>
              <w:spacing w:after="0"/>
              <w:rPr>
                <w:sz w:val="17"/>
                <w:szCs w:val="17"/>
                <w:color w:val="auto"/>
              </w:rPr>
            </w:pPr>
          </w:p>
        </w:tc>
        <w:tc>
          <w:tcPr>
            <w:tcW w:w="1000" w:type="dxa"/>
            <w:vAlign w:val="bottom"/>
            <w:tcBorders>
              <w:top w:val="single" w:sz="8" w:color="auto"/>
              <w:bottom w:val="single" w:sz="8" w:color="BFBFBF"/>
            </w:tcBorders>
            <w:shd w:val="clear" w:color="auto" w:fill="BFBFBF"/>
          </w:tcPr>
          <w:p>
            <w:pPr>
              <w:jc w:val="right"/>
              <w:spacing w:after="0"/>
              <w:rPr>
                <w:sz w:val="20"/>
                <w:szCs w:val="20"/>
                <w:color w:val="auto"/>
              </w:rPr>
            </w:pPr>
            <w:r>
              <w:rPr>
                <w:rFonts w:ascii="Arial" w:cs="Arial" w:eastAsia="Arial" w:hAnsi="Arial"/>
                <w:sz w:val="13"/>
                <w:szCs w:val="13"/>
                <w:color w:val="auto"/>
              </w:rPr>
              <w:t>63.6%</w:t>
            </w:r>
          </w:p>
        </w:tc>
        <w:tc>
          <w:tcPr>
            <w:tcW w:w="122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(17,633)</w:t>
            </w:r>
          </w:p>
        </w:tc>
        <w:tc>
          <w:tcPr>
            <w:tcW w:w="10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(34.3%)</w:t>
            </w:r>
          </w:p>
        </w:tc>
        <w:tc>
          <w:tcPr>
            <w:tcW w:w="20" w:type="dxa"/>
            <w:vAlign w:val="bottom"/>
            <w:tcBorders>
              <w:top w:val="single" w:sz="8" w:color="auto"/>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560" w:type="dxa"/>
            <w:vAlign w:val="bottom"/>
          </w:tcPr>
          <w:p>
            <w:pPr>
              <w:spacing w:after="0"/>
              <w:rPr>
                <w:sz w:val="20"/>
                <w:szCs w:val="20"/>
                <w:color w:val="auto"/>
              </w:rPr>
            </w:pPr>
            <w:r>
              <w:rPr>
                <w:rFonts w:ascii="Arial" w:cs="Arial" w:eastAsia="Arial" w:hAnsi="Arial"/>
                <w:sz w:val="13"/>
                <w:szCs w:val="13"/>
                <w:b w:val="1"/>
                <w:bCs w:val="1"/>
                <w:color w:val="auto"/>
              </w:rPr>
              <w:t>Profit before taxes</w:t>
            </w:r>
          </w:p>
        </w:tc>
        <w:tc>
          <w:tcPr>
            <w:tcW w:w="108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247,054</w:t>
            </w:r>
          </w:p>
        </w:tc>
        <w:tc>
          <w:tcPr>
            <w:tcW w:w="80" w:type="dxa"/>
            <w:vAlign w:val="bottom"/>
          </w:tcPr>
          <w:p>
            <w:pPr>
              <w:spacing w:after="0"/>
              <w:rPr>
                <w:sz w:val="15"/>
                <w:szCs w:val="15"/>
                <w:color w:val="auto"/>
              </w:rPr>
            </w:pPr>
          </w:p>
        </w:tc>
        <w:tc>
          <w:tcPr>
            <w:tcW w:w="128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206,744</w:t>
            </w:r>
          </w:p>
        </w:tc>
        <w:tc>
          <w:tcPr>
            <w:tcW w:w="100" w:type="dxa"/>
            <w:vAlign w:val="bottom"/>
          </w:tcPr>
          <w:p>
            <w:pPr>
              <w:spacing w:after="0"/>
              <w:rPr>
                <w:sz w:val="15"/>
                <w:szCs w:val="15"/>
                <w:color w:val="auto"/>
              </w:rPr>
            </w:pPr>
          </w:p>
        </w:tc>
        <w:tc>
          <w:tcPr>
            <w:tcW w:w="1000" w:type="dxa"/>
            <w:vAlign w:val="bottom"/>
            <w:tcBorders>
              <w:top w:val="single" w:sz="8" w:color="auto"/>
              <w:bottom w:val="single" w:sz="8" w:color="BFBFBF"/>
            </w:tcBorders>
            <w:shd w:val="clear" w:color="auto" w:fill="BFBFBF"/>
          </w:tcPr>
          <w:p>
            <w:pPr>
              <w:jc w:val="right"/>
              <w:spacing w:after="0"/>
              <w:rPr>
                <w:sz w:val="20"/>
                <w:szCs w:val="20"/>
                <w:color w:val="auto"/>
              </w:rPr>
            </w:pPr>
            <w:r>
              <w:rPr>
                <w:rFonts w:ascii="Arial" w:cs="Arial" w:eastAsia="Arial" w:hAnsi="Arial"/>
                <w:sz w:val="13"/>
                <w:szCs w:val="13"/>
                <w:color w:val="auto"/>
              </w:rPr>
              <w:t>19.5%</w:t>
            </w:r>
          </w:p>
        </w:tc>
        <w:tc>
          <w:tcPr>
            <w:tcW w:w="122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191,955</w:t>
            </w:r>
          </w:p>
        </w:tc>
        <w:tc>
          <w:tcPr>
            <w:tcW w:w="100" w:type="dxa"/>
            <w:vAlign w:val="bottom"/>
          </w:tcPr>
          <w:p>
            <w:pPr>
              <w:spacing w:after="0"/>
              <w:rPr>
                <w:sz w:val="15"/>
                <w:szCs w:val="15"/>
                <w:color w:val="auto"/>
              </w:rPr>
            </w:pPr>
          </w:p>
        </w:tc>
        <w:tc>
          <w:tcPr>
            <w:tcW w:w="1020" w:type="dxa"/>
            <w:vAlign w:val="bottom"/>
            <w:tcBorders>
              <w:top w:val="single" w:sz="8" w:color="auto"/>
              <w:bottom w:val="single" w:sz="8" w:color="BFBFBF"/>
            </w:tcBorders>
            <w:shd w:val="clear" w:color="auto" w:fill="BFBFBF"/>
          </w:tcPr>
          <w:p>
            <w:pPr>
              <w:jc w:val="right"/>
              <w:spacing w:after="0"/>
              <w:rPr>
                <w:sz w:val="20"/>
                <w:szCs w:val="20"/>
                <w:color w:val="auto"/>
              </w:rPr>
            </w:pPr>
            <w:r>
              <w:rPr>
                <w:rFonts w:ascii="Arial" w:cs="Arial" w:eastAsia="Arial" w:hAnsi="Arial"/>
                <w:sz w:val="13"/>
                <w:szCs w:val="13"/>
                <w:b w:val="1"/>
                <w:bCs w:val="1"/>
                <w:color w:val="auto"/>
              </w:rPr>
              <w:t>28.7%</w:t>
            </w:r>
          </w:p>
        </w:tc>
        <w:tc>
          <w:tcPr>
            <w:tcW w:w="20" w:type="dxa"/>
            <w:vAlign w:val="bottom"/>
            <w:tcBorders>
              <w:top w:val="single" w:sz="8" w:color="auto"/>
              <w:bottom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560" w:type="dxa"/>
            <w:vAlign w:val="bottom"/>
          </w:tcPr>
          <w:p>
            <w:pPr>
              <w:ind w:left="80"/>
              <w:spacing w:after="0"/>
              <w:rPr>
                <w:sz w:val="20"/>
                <w:szCs w:val="20"/>
                <w:color w:val="auto"/>
              </w:rPr>
            </w:pPr>
            <w:r>
              <w:rPr>
                <w:rFonts w:ascii="Arial" w:cs="Arial" w:eastAsia="Arial" w:hAnsi="Arial"/>
                <w:sz w:val="13"/>
                <w:szCs w:val="13"/>
                <w:color w:val="auto"/>
              </w:rPr>
              <w:t>Income tax expense</w:t>
            </w: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(34,588)</w:t>
            </w:r>
          </w:p>
        </w:tc>
        <w:tc>
          <w:tcPr>
            <w:tcW w:w="80" w:type="dxa"/>
            <w:vAlign w:val="bottom"/>
          </w:tcPr>
          <w:p>
            <w:pPr>
              <w:spacing w:after="0"/>
              <w:rPr>
                <w:sz w:val="19"/>
                <w:szCs w:val="19"/>
                <w:color w:val="auto"/>
              </w:rPr>
            </w:pPr>
          </w:p>
        </w:tc>
        <w:tc>
          <w:tcPr>
            <w:tcW w:w="1280" w:type="dxa"/>
            <w:vAlign w:val="bottom"/>
          </w:tcPr>
          <w:p>
            <w:pPr>
              <w:jc w:val="right"/>
              <w:ind w:right="77"/>
              <w:spacing w:after="0"/>
              <w:rPr>
                <w:sz w:val="20"/>
                <w:szCs w:val="20"/>
                <w:color w:val="auto"/>
              </w:rPr>
            </w:pPr>
            <w:r>
              <w:rPr>
                <w:rFonts w:ascii="Arial" w:cs="Arial" w:eastAsia="Arial" w:hAnsi="Arial"/>
                <w:sz w:val="13"/>
                <w:szCs w:val="13"/>
                <w:color w:val="auto"/>
              </w:rPr>
              <w:t>(29,978)</w:t>
            </w:r>
          </w:p>
        </w:tc>
        <w:tc>
          <w:tcPr>
            <w:tcW w:w="100" w:type="dxa"/>
            <w:vAlign w:val="bottom"/>
          </w:tcPr>
          <w:p>
            <w:pPr>
              <w:spacing w:after="0"/>
              <w:rPr>
                <w:sz w:val="19"/>
                <w:szCs w:val="19"/>
                <w:color w:val="auto"/>
              </w:rPr>
            </w:pPr>
          </w:p>
        </w:tc>
        <w:tc>
          <w:tcPr>
            <w:tcW w:w="1000" w:type="dxa"/>
            <w:vAlign w:val="bottom"/>
            <w:tcBorders>
              <w:bottom w:val="single" w:sz="8" w:color="BFBFBF"/>
            </w:tcBorders>
            <w:shd w:val="clear" w:color="auto" w:fill="BFBFBF"/>
          </w:tcPr>
          <w:p>
            <w:pPr>
              <w:jc w:val="right"/>
              <w:spacing w:after="0"/>
              <w:rPr>
                <w:sz w:val="20"/>
                <w:szCs w:val="20"/>
                <w:color w:val="auto"/>
              </w:rPr>
            </w:pPr>
            <w:r>
              <w:rPr>
                <w:rFonts w:ascii="Arial" w:cs="Arial" w:eastAsia="Arial" w:hAnsi="Arial"/>
                <w:sz w:val="13"/>
                <w:szCs w:val="13"/>
                <w:color w:val="auto"/>
              </w:rPr>
              <w:t>15.4%</w:t>
            </w:r>
          </w:p>
        </w:tc>
        <w:tc>
          <w:tcPr>
            <w:tcW w:w="1220" w:type="dxa"/>
            <w:vAlign w:val="bottom"/>
          </w:tcPr>
          <w:p>
            <w:pPr>
              <w:jc w:val="right"/>
              <w:ind w:right="77"/>
              <w:spacing w:after="0"/>
              <w:rPr>
                <w:sz w:val="20"/>
                <w:szCs w:val="20"/>
                <w:color w:val="auto"/>
              </w:rPr>
            </w:pPr>
            <w:r>
              <w:rPr>
                <w:rFonts w:ascii="Arial" w:cs="Arial" w:eastAsia="Arial" w:hAnsi="Arial"/>
                <w:sz w:val="13"/>
                <w:szCs w:val="13"/>
                <w:color w:val="auto"/>
              </w:rPr>
              <w:t>(19,332)</w:t>
            </w:r>
          </w:p>
        </w:tc>
        <w:tc>
          <w:tcPr>
            <w:tcW w:w="100" w:type="dxa"/>
            <w:vAlign w:val="bottom"/>
          </w:tcPr>
          <w:p>
            <w:pPr>
              <w:spacing w:after="0"/>
              <w:rPr>
                <w:sz w:val="19"/>
                <w:szCs w:val="19"/>
                <w:color w:val="auto"/>
              </w:rPr>
            </w:pPr>
          </w:p>
        </w:tc>
        <w:tc>
          <w:tcPr>
            <w:tcW w:w="1020" w:type="dxa"/>
            <w:vAlign w:val="bottom"/>
            <w:tcBorders>
              <w:bottom w:val="single" w:sz="8" w:color="BFBFBF"/>
            </w:tcBorders>
            <w:shd w:val="clear" w:color="auto" w:fill="BFBFBF"/>
          </w:tcPr>
          <w:p>
            <w:pPr>
              <w:jc w:val="right"/>
              <w:spacing w:after="0"/>
              <w:rPr>
                <w:sz w:val="20"/>
                <w:szCs w:val="20"/>
                <w:color w:val="auto"/>
              </w:rPr>
            </w:pPr>
            <w:r>
              <w:rPr>
                <w:rFonts w:ascii="Arial" w:cs="Arial" w:eastAsia="Arial" w:hAnsi="Arial"/>
                <w:sz w:val="13"/>
                <w:szCs w:val="13"/>
                <w:color w:val="auto"/>
              </w:rPr>
              <w:t>78.9%</w:t>
            </w: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560" w:type="dxa"/>
            <w:vAlign w:val="bottom"/>
          </w:tcPr>
          <w:p>
            <w:pPr>
              <w:spacing w:after="0"/>
              <w:rPr>
                <w:sz w:val="20"/>
                <w:szCs w:val="20"/>
                <w:color w:val="auto"/>
              </w:rPr>
            </w:pPr>
            <w:r>
              <w:rPr>
                <w:rFonts w:ascii="Arial" w:cs="Arial" w:eastAsia="Arial" w:hAnsi="Arial"/>
                <w:sz w:val="13"/>
                <w:szCs w:val="13"/>
                <w:b w:val="1"/>
                <w:bCs w:val="1"/>
                <w:color w:val="auto"/>
              </w:rPr>
              <w:t>Net Profit/(Loss)</w:t>
            </w:r>
          </w:p>
        </w:tc>
        <w:tc>
          <w:tcPr>
            <w:tcW w:w="108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212,467</w:t>
            </w:r>
          </w:p>
        </w:tc>
        <w:tc>
          <w:tcPr>
            <w:tcW w:w="80" w:type="dxa"/>
            <w:vAlign w:val="bottom"/>
          </w:tcPr>
          <w:p>
            <w:pPr>
              <w:spacing w:after="0"/>
              <w:rPr>
                <w:sz w:val="13"/>
                <w:szCs w:val="13"/>
                <w:color w:val="auto"/>
              </w:rPr>
            </w:pPr>
          </w:p>
        </w:tc>
        <w:tc>
          <w:tcPr>
            <w:tcW w:w="128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176,766</w:t>
            </w:r>
          </w:p>
        </w:tc>
        <w:tc>
          <w:tcPr>
            <w:tcW w:w="100" w:type="dxa"/>
            <w:vAlign w:val="bottom"/>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w:t>
            </w:r>
          </w:p>
        </w:tc>
        <w:tc>
          <w:tcPr>
            <w:tcW w:w="122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172,623</w:t>
            </w:r>
          </w:p>
        </w:tc>
        <w:tc>
          <w:tcPr>
            <w:tcW w:w="100" w:type="dxa"/>
            <w:vAlign w:val="bottom"/>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23.1%</w:t>
            </w:r>
          </w:p>
        </w:tc>
        <w:tc>
          <w:tcPr>
            <w:tcW w:w="20" w:type="dxa"/>
            <w:vAlign w:val="bottom"/>
            <w:tcBorders>
              <w:top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2560" w:type="dxa"/>
            <w:vAlign w:val="bottom"/>
            <w:vMerge w:val="restart"/>
          </w:tcPr>
          <w:p>
            <w:pPr>
              <w:spacing w:after="0"/>
              <w:rPr>
                <w:sz w:val="20"/>
                <w:szCs w:val="20"/>
                <w:color w:val="auto"/>
              </w:rPr>
            </w:pPr>
            <w:r>
              <w:rPr>
                <w:rFonts w:ascii="Arial" w:cs="Arial" w:eastAsia="Arial" w:hAnsi="Arial"/>
                <w:sz w:val="13"/>
                <w:szCs w:val="13"/>
                <w:i w:val="1"/>
                <w:iCs w:val="1"/>
                <w:color w:val="auto"/>
              </w:rPr>
              <w:t>Net Margin</w:t>
            </w:r>
          </w:p>
        </w:tc>
        <w:tc>
          <w:tcPr>
            <w:tcW w:w="1080" w:type="dxa"/>
            <w:vAlign w:val="bottom"/>
            <w:vMerge w:val="restart"/>
          </w:tcPr>
          <w:p>
            <w:pPr>
              <w:jc w:val="right"/>
              <w:spacing w:after="0"/>
              <w:rPr>
                <w:sz w:val="20"/>
                <w:szCs w:val="20"/>
                <w:color w:val="auto"/>
              </w:rPr>
            </w:pPr>
            <w:r>
              <w:rPr>
                <w:rFonts w:ascii="Arial" w:cs="Arial" w:eastAsia="Arial" w:hAnsi="Arial"/>
                <w:sz w:val="13"/>
                <w:szCs w:val="13"/>
                <w:i w:val="1"/>
                <w:iCs w:val="1"/>
                <w:color w:val="auto"/>
              </w:rPr>
              <w:t>20.2 %</w:t>
            </w:r>
          </w:p>
        </w:tc>
        <w:tc>
          <w:tcPr>
            <w:tcW w:w="80" w:type="dxa"/>
            <w:vAlign w:val="bottom"/>
          </w:tcPr>
          <w:p>
            <w:pPr>
              <w:spacing w:after="0" w:line="20" w:lineRule="exact"/>
              <w:rPr>
                <w:sz w:val="1"/>
                <w:szCs w:val="1"/>
                <w:color w:val="auto"/>
              </w:rPr>
            </w:pPr>
          </w:p>
        </w:tc>
        <w:tc>
          <w:tcPr>
            <w:tcW w:w="1280" w:type="dxa"/>
            <w:vAlign w:val="bottom"/>
            <w:vMerge w:val="restart"/>
          </w:tcPr>
          <w:p>
            <w:pPr>
              <w:jc w:val="right"/>
              <w:spacing w:after="0"/>
              <w:rPr>
                <w:sz w:val="20"/>
                <w:szCs w:val="20"/>
                <w:color w:val="auto"/>
              </w:rPr>
            </w:pPr>
            <w:r>
              <w:rPr>
                <w:rFonts w:ascii="Arial" w:cs="Arial" w:eastAsia="Arial" w:hAnsi="Arial"/>
                <w:sz w:val="13"/>
                <w:szCs w:val="13"/>
                <w:i w:val="1"/>
                <w:iCs w:val="1"/>
                <w:color w:val="auto"/>
              </w:rPr>
              <w:t>19.7 %</w:t>
            </w: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vMerge w:val="restart"/>
          </w:tcPr>
          <w:p>
            <w:pPr>
              <w:jc w:val="right"/>
              <w:spacing w:after="0"/>
              <w:rPr>
                <w:sz w:val="20"/>
                <w:szCs w:val="20"/>
                <w:color w:val="auto"/>
              </w:rPr>
            </w:pPr>
            <w:r>
              <w:rPr>
                <w:rFonts w:ascii="Arial" w:cs="Arial" w:eastAsia="Arial" w:hAnsi="Arial"/>
                <w:sz w:val="13"/>
                <w:szCs w:val="13"/>
                <w:i w:val="1"/>
                <w:iCs w:val="1"/>
                <w:color w:val="auto"/>
              </w:rPr>
              <w:t>17.9 %</w:t>
            </w: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3"/>
                <w:szCs w:val="13"/>
                <w:i w:val="1"/>
                <w:iCs w:val="1"/>
                <w:color w:val="auto"/>
              </w:rPr>
              <w:t>0.5 p.p</w:t>
            </w: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3"/>
                <w:szCs w:val="13"/>
                <w:i w:val="1"/>
                <w:iCs w:val="1"/>
                <w:color w:val="auto"/>
              </w:rPr>
              <w:t>2.3 p.p</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451"/>
        </w:trPr>
        <w:tc>
          <w:tcPr>
            <w:tcW w:w="2560" w:type="dxa"/>
            <w:vAlign w:val="bottom"/>
          </w:tcPr>
          <w:p>
            <w:pPr>
              <w:spacing w:after="0"/>
              <w:rPr>
                <w:sz w:val="20"/>
                <w:szCs w:val="20"/>
                <w:color w:val="auto"/>
              </w:rPr>
            </w:pPr>
            <w:r>
              <w:rPr>
                <w:rFonts w:ascii="Arial" w:cs="Arial" w:eastAsia="Arial" w:hAnsi="Arial"/>
                <w:sz w:val="13"/>
                <w:szCs w:val="13"/>
                <w:b w:val="1"/>
                <w:bCs w:val="1"/>
                <w:color w:val="auto"/>
              </w:rPr>
              <w:t>EPS</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108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5.16</w:t>
            </w:r>
          </w:p>
        </w:tc>
        <w:tc>
          <w:tcPr>
            <w:tcW w:w="80" w:type="dxa"/>
            <w:vAlign w:val="bottom"/>
          </w:tcPr>
          <w:p>
            <w:pPr>
              <w:spacing w:after="0" w:line="20" w:lineRule="exact"/>
              <w:rPr>
                <w:sz w:val="1"/>
                <w:szCs w:val="1"/>
                <w:color w:val="auto"/>
              </w:rPr>
            </w:pPr>
          </w:p>
        </w:tc>
        <w:tc>
          <w:tcPr>
            <w:tcW w:w="128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4.28</w:t>
            </w: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4.18</w:t>
            </w: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560" w:type="dxa"/>
            <w:vAlign w:val="bottom"/>
          </w:tcPr>
          <w:p>
            <w:pPr>
              <w:spacing w:after="0"/>
              <w:rPr>
                <w:sz w:val="20"/>
                <w:szCs w:val="20"/>
                <w:color w:val="auto"/>
              </w:rPr>
            </w:pPr>
            <w:r>
              <w:rPr>
                <w:rFonts w:ascii="Arial" w:cs="Arial" w:eastAsia="Arial" w:hAnsi="Arial"/>
                <w:sz w:val="13"/>
                <w:szCs w:val="13"/>
                <w:color w:val="auto"/>
              </w:rPr>
              <w:t>Basic Earnings Per Share (EPS)</w:t>
            </w:r>
          </w:p>
        </w:tc>
        <w:tc>
          <w:tcPr>
            <w:tcW w:w="10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bottom w:val="single" w:sz="8" w:color="BFBFBF"/>
            </w:tcBorders>
            <w:shd w:val="clear" w:color="auto" w:fill="BFBFBF"/>
          </w:tcPr>
          <w:p>
            <w:pPr>
              <w:jc w:val="right"/>
              <w:spacing w:after="0"/>
              <w:rPr>
                <w:sz w:val="20"/>
                <w:szCs w:val="20"/>
                <w:color w:val="auto"/>
              </w:rPr>
            </w:pPr>
            <w:r>
              <w:rPr>
                <w:rFonts w:ascii="Arial" w:cs="Arial" w:eastAsia="Arial" w:hAnsi="Arial"/>
                <w:sz w:val="13"/>
                <w:szCs w:val="13"/>
                <w:b w:val="1"/>
                <w:bCs w:val="1"/>
                <w:color w:val="auto"/>
              </w:rPr>
              <w:t>20.5%</w:t>
            </w:r>
          </w:p>
        </w:tc>
        <w:tc>
          <w:tcPr>
            <w:tcW w:w="12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Borders>
              <w:bottom w:val="single" w:sz="8" w:color="BFBFBF"/>
            </w:tcBorders>
            <w:shd w:val="clear" w:color="auto" w:fill="BFBFBF"/>
          </w:tcPr>
          <w:p>
            <w:pPr>
              <w:jc w:val="right"/>
              <w:spacing w:after="0"/>
              <w:rPr>
                <w:sz w:val="20"/>
                <w:szCs w:val="20"/>
                <w:color w:val="auto"/>
              </w:rPr>
            </w:pPr>
            <w:r>
              <w:rPr>
                <w:rFonts w:ascii="Arial" w:cs="Arial" w:eastAsia="Arial" w:hAnsi="Arial"/>
                <w:sz w:val="13"/>
                <w:szCs w:val="13"/>
                <w:b w:val="1"/>
                <w:bCs w:val="1"/>
                <w:color w:val="auto"/>
              </w:rPr>
              <w:t>23.3%</w:t>
            </w:r>
          </w:p>
        </w:tc>
        <w:tc>
          <w:tcPr>
            <w:tcW w:w="20" w:type="dxa"/>
            <w:vAlign w:val="bottom"/>
            <w:tcBorders>
              <w:bottom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452"/>
        </w:trPr>
        <w:tc>
          <w:tcPr>
            <w:tcW w:w="2560" w:type="dxa"/>
            <w:vAlign w:val="bottom"/>
          </w:tcPr>
          <w:p>
            <w:pPr>
              <w:spacing w:after="0"/>
              <w:rPr>
                <w:sz w:val="20"/>
                <w:szCs w:val="20"/>
                <w:color w:val="auto"/>
              </w:rPr>
            </w:pPr>
            <w:r>
              <w:rPr>
                <w:rFonts w:ascii="Arial" w:cs="Arial" w:eastAsia="Arial" w:hAnsi="Arial"/>
                <w:sz w:val="13"/>
                <w:szCs w:val="13"/>
                <w:b w:val="1"/>
                <w:bCs w:val="1"/>
                <w:color w:val="auto"/>
              </w:rPr>
              <w:t>Shares used for calculation:</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560" w:type="dxa"/>
            <w:vAlign w:val="bottom"/>
          </w:tcPr>
          <w:p>
            <w:pPr>
              <w:spacing w:after="0"/>
              <w:rPr>
                <w:sz w:val="20"/>
                <w:szCs w:val="20"/>
                <w:color w:val="auto"/>
              </w:rPr>
            </w:pPr>
            <w:r>
              <w:rPr>
                <w:rFonts w:ascii="Arial" w:cs="Arial" w:eastAsia="Arial" w:hAnsi="Arial"/>
                <w:sz w:val="13"/>
                <w:szCs w:val="13"/>
                <w:color w:val="auto"/>
              </w:rPr>
              <w:t>Shares for calculation of Basic EPS (000s)</w:t>
            </w:r>
          </w:p>
        </w:tc>
        <w:tc>
          <w:tcPr>
            <w:tcW w:w="1080" w:type="dxa"/>
            <w:vAlign w:val="bottom"/>
          </w:tcPr>
          <w:p>
            <w:pPr>
              <w:jc w:val="right"/>
              <w:spacing w:after="0"/>
              <w:rPr>
                <w:sz w:val="20"/>
                <w:szCs w:val="20"/>
                <w:color w:val="auto"/>
              </w:rPr>
            </w:pPr>
            <w:r>
              <w:rPr>
                <w:rFonts w:ascii="Arial" w:cs="Arial" w:eastAsia="Arial" w:hAnsi="Arial"/>
                <w:sz w:val="13"/>
                <w:szCs w:val="13"/>
                <w:color w:val="auto"/>
              </w:rPr>
              <w:t>41,183</w:t>
            </w:r>
          </w:p>
        </w:tc>
        <w:tc>
          <w:tcPr>
            <w:tcW w:w="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41,292</w:t>
            </w:r>
          </w:p>
        </w:tc>
        <w:tc>
          <w:tcPr>
            <w:tcW w:w="100" w:type="dxa"/>
            <w:vAlign w:val="bottom"/>
          </w:tcPr>
          <w:p>
            <w:pPr>
              <w:spacing w:after="0"/>
              <w:rPr>
                <w:sz w:val="15"/>
                <w:szCs w:val="15"/>
                <w:color w:val="auto"/>
              </w:rPr>
            </w:pPr>
          </w:p>
        </w:tc>
        <w:tc>
          <w:tcPr>
            <w:tcW w:w="1000" w:type="dxa"/>
            <w:vAlign w:val="bottom"/>
            <w:shd w:val="clear" w:color="auto" w:fill="BFBFBF"/>
          </w:tcPr>
          <w:p>
            <w:pPr>
              <w:jc w:val="right"/>
              <w:spacing w:after="0"/>
              <w:rPr>
                <w:sz w:val="20"/>
                <w:szCs w:val="20"/>
                <w:color w:val="auto"/>
              </w:rPr>
            </w:pPr>
            <w:r>
              <w:rPr>
                <w:rFonts w:ascii="Arial" w:cs="Arial" w:eastAsia="Arial" w:hAnsi="Arial"/>
                <w:sz w:val="13"/>
                <w:szCs w:val="13"/>
                <w:color w:val="auto"/>
              </w:rPr>
              <w:t>-0.3%</w:t>
            </w:r>
          </w:p>
        </w:tc>
        <w:tc>
          <w:tcPr>
            <w:tcW w:w="1220" w:type="dxa"/>
            <w:vAlign w:val="bottom"/>
          </w:tcPr>
          <w:p>
            <w:pPr>
              <w:jc w:val="right"/>
              <w:spacing w:after="0"/>
              <w:rPr>
                <w:sz w:val="20"/>
                <w:szCs w:val="20"/>
                <w:color w:val="auto"/>
              </w:rPr>
            </w:pPr>
            <w:r>
              <w:rPr>
                <w:rFonts w:ascii="Arial" w:cs="Arial" w:eastAsia="Arial" w:hAnsi="Arial"/>
                <w:sz w:val="13"/>
                <w:szCs w:val="13"/>
                <w:color w:val="auto"/>
              </w:rPr>
              <w:t>41,248</w:t>
            </w:r>
          </w:p>
        </w:tc>
        <w:tc>
          <w:tcPr>
            <w:tcW w:w="100" w:type="dxa"/>
            <w:vAlign w:val="bottom"/>
          </w:tcPr>
          <w:p>
            <w:pPr>
              <w:spacing w:after="0"/>
              <w:rPr>
                <w:sz w:val="15"/>
                <w:szCs w:val="15"/>
                <w:color w:val="auto"/>
              </w:rPr>
            </w:pPr>
          </w:p>
        </w:tc>
        <w:tc>
          <w:tcPr>
            <w:tcW w:w="1020" w:type="dxa"/>
            <w:vAlign w:val="bottom"/>
            <w:shd w:val="clear" w:color="auto" w:fill="BFBFBF"/>
          </w:tcPr>
          <w:p>
            <w:pPr>
              <w:jc w:val="right"/>
              <w:spacing w:after="0"/>
              <w:rPr>
                <w:sz w:val="20"/>
                <w:szCs w:val="20"/>
                <w:color w:val="auto"/>
              </w:rPr>
            </w:pPr>
            <w:r>
              <w:rPr>
                <w:rFonts w:ascii="Arial" w:cs="Arial" w:eastAsia="Arial" w:hAnsi="Arial"/>
                <w:sz w:val="13"/>
                <w:szCs w:val="13"/>
                <w:color w:val="auto"/>
              </w:rPr>
              <w:t>-0.2%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shd w:val="clear" w:color="auto" w:fill="BFBFBF"/>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shd w:val="clear" w:color="auto" w:fill="BFBFB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-5236845</wp:posOffset>
            </wp:positionV>
            <wp:extent cx="643255" cy="522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3255" cy="52260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-5236845</wp:posOffset>
            </wp:positionV>
            <wp:extent cx="651510" cy="522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1510" cy="52260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-4457065</wp:posOffset>
            </wp:positionV>
            <wp:extent cx="643255" cy="1465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3255" cy="146558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-4457065</wp:posOffset>
            </wp:positionV>
            <wp:extent cx="651510" cy="1465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1510" cy="146558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-2382520</wp:posOffset>
            </wp:positionV>
            <wp:extent cx="539750" cy="2571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9750" cy="25717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-2382520</wp:posOffset>
            </wp:positionV>
            <wp:extent cx="643255" cy="6000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3255" cy="60007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-1782445</wp:posOffset>
            </wp:positionV>
            <wp:extent cx="539750" cy="265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9750" cy="26543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-1250950</wp:posOffset>
            </wp:positionV>
            <wp:extent cx="643255" cy="2660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3255" cy="26606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-1250950</wp:posOffset>
            </wp:positionV>
            <wp:extent cx="737235" cy="394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723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920"/>
          </w:cols>
          <w:pgMar w:left="320" w:top="1440" w:right="65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5837555" cy="11055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837555" cy="110553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Operating revenue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Consolidated revenue </w:t>
      </w:r>
      <w:r>
        <w:rPr>
          <w:rFonts w:ascii="Arial" w:cs="Arial" w:eastAsia="Arial" w:hAnsi="Arial"/>
          <w:sz w:val="18"/>
          <w:szCs w:val="18"/>
          <w:color w:val="auto"/>
        </w:rPr>
        <w:t>for 1Q26 totaled US$1.1 billion, a 17.0% increase compared to 1Q25 on 14.0% capacity growth, measured in ASMs.</w:t>
      </w:r>
    </w:p>
    <w:p>
      <w:pPr>
        <w:spacing w:after="0" w:line="144"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 xml:space="preserve">Passenger revenue </w:t>
      </w:r>
      <w:r>
        <w:rPr>
          <w:rFonts w:ascii="Arial" w:cs="Arial" w:eastAsia="Arial" w:hAnsi="Arial"/>
          <w:sz w:val="18"/>
          <w:szCs w:val="18"/>
          <w:color w:val="auto"/>
        </w:rPr>
        <w:t>totaled US$1,004.2 million, an increase of 16.9% year-over-year, driven by a 15.0% increase in RPMs and a 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in passenger yield.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Cargo and mail revenue </w:t>
      </w:r>
      <w:r>
        <w:rPr>
          <w:rFonts w:ascii="Arial" w:cs="Arial" w:eastAsia="Arial" w:hAnsi="Arial"/>
          <w:sz w:val="18"/>
          <w:szCs w:val="18"/>
          <w:color w:val="auto"/>
        </w:rPr>
        <w:t>totaled US$29.8 million, an increase of 15.8%, due to higher cargo volumes.</w:t>
      </w:r>
    </w:p>
    <w:p>
      <w:pPr>
        <w:spacing w:after="0" w:line="131"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 xml:space="preserve">Other operating revenue </w:t>
      </w:r>
      <w:r>
        <w:rPr>
          <w:rFonts w:ascii="Arial" w:cs="Arial" w:eastAsia="Arial" w:hAnsi="Arial"/>
          <w:sz w:val="18"/>
          <w:szCs w:val="18"/>
          <w:color w:val="auto"/>
        </w:rPr>
        <w:t>totaled US$18.5 million, a 27.8% increase compared to 1Q25, mostly due to an increase in ConnectMiles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from non-air partners.</w:t>
      </w:r>
    </w:p>
    <w:p>
      <w:pPr>
        <w:spacing w:after="0" w:line="12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Operating expenses</w:t>
      </w:r>
    </w:p>
    <w:p>
      <w:pPr>
        <w:spacing w:after="0" w:line="191"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 xml:space="preserve">Consolidated operating costs </w:t>
      </w:r>
      <w:r>
        <w:rPr>
          <w:rFonts w:ascii="Arial" w:cs="Arial" w:eastAsia="Arial" w:hAnsi="Arial"/>
          <w:sz w:val="18"/>
          <w:szCs w:val="18"/>
          <w:color w:val="auto"/>
        </w:rPr>
        <w:t>for 1Q26 totaled US$793.8 million, a 15.8% increase year-over-year, primarily due to capacity growth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higher fuel costs.</w:t>
      </w:r>
    </w:p>
    <w:p>
      <w:pPr>
        <w:spacing w:after="0" w:line="7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 xml:space="preserve">Fuel </w:t>
      </w:r>
      <w:r>
        <w:rPr>
          <w:rFonts w:ascii="Arial" w:cs="Arial" w:eastAsia="Arial" w:hAnsi="Arial"/>
          <w:sz w:val="18"/>
          <w:szCs w:val="18"/>
          <w:color w:val="auto"/>
        </w:rPr>
        <w:t>totaled US$282.5 million, an increase of US$50.3 million or 21.7%, driven by a 12.9% increase in gallons consumed and a 7.5% higher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average fuel price.</w:t>
      </w:r>
    </w:p>
    <w:p>
      <w:pPr>
        <w:spacing w:after="0" w:line="58"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 xml:space="preserve">Wages, salaries, benefits, and other employee expenses </w:t>
      </w:r>
      <w:r>
        <w:rPr>
          <w:rFonts w:ascii="Arial" w:cs="Arial" w:eastAsia="Arial" w:hAnsi="Arial"/>
          <w:sz w:val="18"/>
          <w:szCs w:val="18"/>
          <w:color w:val="auto"/>
        </w:rPr>
        <w:t>totaled US$137.7 million, up 17.1%, mostly reflecting additional operational staff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support capacity growth and performance-based variable compensation.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Passenger servicing </w:t>
      </w:r>
      <w:r>
        <w:rPr>
          <w:rFonts w:ascii="Arial" w:cs="Arial" w:eastAsia="Arial" w:hAnsi="Arial"/>
          <w:sz w:val="18"/>
          <w:szCs w:val="18"/>
          <w:color w:val="auto"/>
        </w:rPr>
        <w:t>totaled US$28.1 million, an increase of 12.4%, driven by a 15.3% increase in onboard passengers.</w:t>
      </w:r>
    </w:p>
    <w:p>
      <w:pPr>
        <w:spacing w:after="0" w:line="144"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 xml:space="preserve">Airport facilities and handling charges </w:t>
      </w:r>
      <w:r>
        <w:rPr>
          <w:rFonts w:ascii="Arial" w:cs="Arial" w:eastAsia="Arial" w:hAnsi="Arial"/>
          <w:sz w:val="18"/>
          <w:szCs w:val="18"/>
          <w:color w:val="auto"/>
        </w:rPr>
        <w:t>totaled US$79.2 million, a 20.6% year-over-year increase, mainly driven by increased departures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higher fees in certain airports as well as the impact of currency exchange.</w:t>
      </w:r>
    </w:p>
    <w:p>
      <w:pPr>
        <w:spacing w:after="0" w:line="58"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 xml:space="preserve">Sales and distribution </w:t>
      </w:r>
      <w:r>
        <w:rPr>
          <w:rFonts w:ascii="Arial" w:cs="Arial" w:eastAsia="Arial" w:hAnsi="Arial"/>
          <w:sz w:val="18"/>
          <w:szCs w:val="18"/>
          <w:color w:val="auto"/>
        </w:rPr>
        <w:t>totaled US$54.8 million, a 9.1% increase mostly due to higher sales driven by capacity growth and higher yields,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partially offset by higher penetration of both direct sales and lower-cost NDC travel agency channels.</w:t>
      </w:r>
    </w:p>
    <w:p>
      <w:pPr>
        <w:spacing w:after="0" w:line="58"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 xml:space="preserve">Maintenance, materials, and repairs </w:t>
      </w:r>
      <w:r>
        <w:rPr>
          <w:rFonts w:ascii="Arial" w:cs="Arial" w:eastAsia="Arial" w:hAnsi="Arial"/>
          <w:sz w:val="18"/>
          <w:szCs w:val="18"/>
          <w:color w:val="auto"/>
        </w:rPr>
        <w:t>totaled US$46.6 million, an 18.2% increase compared to 1Q25, mainly driven by an increase in flight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hours, as well as the timing of events related to component repairs and materials consumption.</w:t>
      </w:r>
    </w:p>
    <w:p>
      <w:pPr>
        <w:spacing w:after="0" w:line="72"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totaled US$100.7 million, a 16.7% year-over-year increase, due to higher amortization of aircraft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maintenance events.</w:t>
      </w:r>
    </w:p>
    <w:p>
      <w:pPr>
        <w:spacing w:after="0" w:line="58"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 xml:space="preserve">Flight operations </w:t>
      </w:r>
      <w:r>
        <w:rPr>
          <w:rFonts w:ascii="Arial" w:cs="Arial" w:eastAsia="Arial" w:hAnsi="Arial"/>
          <w:sz w:val="18"/>
          <w:szCs w:val="18"/>
          <w:color w:val="auto"/>
        </w:rPr>
        <w:t>totaled US$41.1 million, a 21.8% year-over-year increase, mainly driven by a 13.9% increase in block hours, route mix,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higher overflight rates in certain countries, including the impact of currency exchange rates.</w:t>
      </w:r>
    </w:p>
    <w:p>
      <w:pPr>
        <w:spacing w:after="0" w:line="58"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 xml:space="preserve">Other operating and administrative expenses </w:t>
      </w:r>
      <w:r>
        <w:rPr>
          <w:rFonts w:ascii="Arial" w:cs="Arial" w:eastAsia="Arial" w:hAnsi="Arial"/>
          <w:sz w:val="18"/>
          <w:szCs w:val="18"/>
          <w:color w:val="auto"/>
        </w:rPr>
        <w:t>totaled US$23.1 million, a 34.6% decrease compared to the same period in 2025, mainly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to realized gains from engine exchange transactions.</w:t>
      </w:r>
    </w:p>
    <w:p>
      <w:pPr>
        <w:spacing w:after="0" w:line="12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Non-operating Income (Expense)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non-operating income (expense</w:t>
      </w:r>
      <w:r>
        <w:rPr>
          <w:rFonts w:ascii="Arial" w:cs="Arial" w:eastAsia="Arial" w:hAnsi="Arial"/>
          <w:sz w:val="18"/>
          <w:szCs w:val="18"/>
          <w:color w:val="auto"/>
        </w:rPr>
        <w:t>) totaled US$(11.6) million in 1Q26.</w:t>
      </w:r>
    </w:p>
    <w:p>
      <w:pPr>
        <w:spacing w:after="0" w:line="144"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 xml:space="preserve">Finance cost </w:t>
      </w:r>
      <w:r>
        <w:rPr>
          <w:rFonts w:ascii="Arial" w:cs="Arial" w:eastAsia="Arial" w:hAnsi="Arial"/>
          <w:sz w:val="18"/>
          <w:szCs w:val="18"/>
          <w:color w:val="auto"/>
        </w:rPr>
        <w:t>totaled US$(25.8) million, comprised of US$17.9 million related to loan interest expenses, US$4.4 million in interest charges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to operating leases, and US$3.5 million related to the discount rate utilized for the calculation of leased aircraft charges.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Finance income </w:t>
      </w:r>
      <w:r>
        <w:rPr>
          <w:rFonts w:ascii="Arial" w:cs="Arial" w:eastAsia="Arial" w:hAnsi="Arial"/>
          <w:sz w:val="18"/>
          <w:szCs w:val="18"/>
          <w:color w:val="auto"/>
        </w:rPr>
        <w:t>totaled US$16.1 million, related to proceeds from investments.</w:t>
      </w:r>
    </w:p>
    <w:p>
      <w:pPr>
        <w:spacing w:after="0" w:line="284" w:lineRule="exact"/>
        <w:rPr>
          <w:sz w:val="20"/>
          <w:szCs w:val="20"/>
          <w:color w:val="auto"/>
        </w:rPr>
      </w:pPr>
    </w:p>
    <w:p>
      <w:pPr>
        <w:ind w:left="1082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5837555" cy="11055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5837555" cy="11055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Gain (loss) on foreign currency fluctuations </w:t>
      </w:r>
      <w:r>
        <w:rPr>
          <w:rFonts w:ascii="Arial" w:cs="Arial" w:eastAsia="Arial" w:hAnsi="Arial"/>
          <w:sz w:val="18"/>
          <w:szCs w:val="18"/>
          <w:color w:val="auto"/>
        </w:rPr>
        <w:t>totaled US$1.5 million, mainly driven by the appreciation of the Brazilian real.</w:t>
      </w:r>
    </w:p>
    <w:p>
      <w:pPr>
        <w:spacing w:after="0" w:line="131"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 xml:space="preserve">Net change in fair value of derivatives </w:t>
      </w:r>
      <w:r>
        <w:rPr>
          <w:rFonts w:ascii="Arial" w:cs="Arial" w:eastAsia="Arial" w:hAnsi="Arial"/>
          <w:sz w:val="18"/>
          <w:szCs w:val="18"/>
          <w:color w:val="auto"/>
        </w:rPr>
        <w:t>totaled US$(1.1) million, due to mark-to-market losses on hedge positions related to the Brazilian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real.</w:t>
      </w:r>
    </w:p>
    <w:p>
      <w:pPr>
        <w:spacing w:after="0" w:line="58"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 xml:space="preserve">Other non-operating income (expense) </w:t>
      </w:r>
      <w:r>
        <w:rPr>
          <w:rFonts w:ascii="Arial" w:cs="Arial" w:eastAsia="Arial" w:hAnsi="Arial"/>
          <w:sz w:val="18"/>
          <w:szCs w:val="18"/>
          <w:color w:val="auto"/>
        </w:rPr>
        <w:t>totaled US$(2.3) million in 1Q26, due to an unrealized mark-to-market loss related to changes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value of financial investments.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082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5837555" cy="11055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5837555" cy="110553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Copa Holdings, S. A.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financial position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US$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60" w:type="dxa"/>
            <w:vAlign w:val="bottom"/>
          </w:tcPr>
          <w:p>
            <w:pPr>
              <w:spacing w:after="0"/>
              <w:rPr>
                <w:sz w:val="17"/>
                <w:szCs w:val="17"/>
                <w:color w:val="auto"/>
              </w:rPr>
            </w:pPr>
          </w:p>
        </w:tc>
        <w:tc>
          <w:tcPr>
            <w:tcW w:w="2640" w:type="dxa"/>
            <w:vAlign w:val="bottom"/>
          </w:tcPr>
          <w:p>
            <w:pPr>
              <w:jc w:val="right"/>
              <w:ind w:right="588"/>
              <w:spacing w:after="0"/>
              <w:rPr>
                <w:sz w:val="20"/>
                <w:szCs w:val="20"/>
                <w:color w:val="auto"/>
              </w:rPr>
            </w:pPr>
            <w:r>
              <w:rPr>
                <w:rFonts w:ascii="Arial" w:cs="Arial" w:eastAsia="Arial" w:hAnsi="Arial"/>
                <w:sz w:val="14"/>
                <w:szCs w:val="14"/>
                <w:b w:val="1"/>
                <w:bCs w:val="1"/>
                <w:color w:val="auto"/>
              </w:rPr>
              <w:t>March 2026</w:t>
            </w:r>
          </w:p>
        </w:tc>
        <w:tc>
          <w:tcPr>
            <w:tcW w:w="1780" w:type="dxa"/>
            <w:vAlign w:val="bottom"/>
          </w:tcPr>
          <w:p>
            <w:pPr>
              <w:jc w:val="right"/>
              <w:ind w:right="368"/>
              <w:spacing w:after="0"/>
              <w:rPr>
                <w:sz w:val="20"/>
                <w:szCs w:val="20"/>
                <w:color w:val="auto"/>
              </w:rPr>
            </w:pPr>
            <w:r>
              <w:rPr>
                <w:rFonts w:ascii="Arial" w:cs="Arial" w:eastAsia="Arial" w:hAnsi="Arial"/>
                <w:sz w:val="14"/>
                <w:szCs w:val="14"/>
                <w:b w:val="1"/>
                <w:bCs w:val="1"/>
                <w:color w:val="auto"/>
              </w:rPr>
              <w:t>December 2025</w:t>
            </w:r>
          </w:p>
        </w:tc>
      </w:tr>
      <w:tr>
        <w:trPr>
          <w:trHeight w:val="216"/>
        </w:trPr>
        <w:tc>
          <w:tcPr>
            <w:tcW w:w="5260" w:type="dxa"/>
            <w:vAlign w:val="bottom"/>
          </w:tcPr>
          <w:p>
            <w:pPr>
              <w:jc w:val="center"/>
              <w:ind w:left="608"/>
              <w:spacing w:after="0"/>
              <w:rPr>
                <w:sz w:val="20"/>
                <w:szCs w:val="20"/>
                <w:color w:val="auto"/>
              </w:rPr>
            </w:pPr>
            <w:r>
              <w:rPr>
                <w:rFonts w:ascii="Arial" w:cs="Arial" w:eastAsia="Arial" w:hAnsi="Arial"/>
                <w:sz w:val="14"/>
                <w:szCs w:val="14"/>
                <w:b w:val="1"/>
                <w:bCs w:val="1"/>
                <w:color w:val="auto"/>
              </w:rPr>
              <w:t>ASSETS</w:t>
            </w:r>
          </w:p>
        </w:tc>
        <w:tc>
          <w:tcPr>
            <w:tcW w:w="2640" w:type="dxa"/>
            <w:vAlign w:val="bottom"/>
          </w:tcPr>
          <w:p>
            <w:pPr>
              <w:jc w:val="right"/>
              <w:ind w:right="588"/>
              <w:spacing w:after="0"/>
              <w:rPr>
                <w:sz w:val="20"/>
                <w:szCs w:val="20"/>
                <w:color w:val="auto"/>
              </w:rPr>
            </w:pPr>
            <w:r>
              <w:rPr>
                <w:rFonts w:ascii="Arial" w:cs="Arial" w:eastAsia="Arial" w:hAnsi="Arial"/>
                <w:sz w:val="14"/>
                <w:szCs w:val="14"/>
                <w:b w:val="1"/>
                <w:bCs w:val="1"/>
                <w:color w:val="auto"/>
              </w:rPr>
              <w:t>(Unaudited)</w:t>
            </w:r>
          </w:p>
        </w:tc>
        <w:tc>
          <w:tcPr>
            <w:tcW w:w="1780" w:type="dxa"/>
            <w:vAlign w:val="bottom"/>
          </w:tcPr>
          <w:p>
            <w:pPr>
              <w:jc w:val="right"/>
              <w:ind w:right="588"/>
              <w:spacing w:after="0"/>
              <w:rPr>
                <w:sz w:val="20"/>
                <w:szCs w:val="20"/>
                <w:color w:val="auto"/>
              </w:rPr>
            </w:pPr>
            <w:r>
              <w:rPr>
                <w:rFonts w:ascii="Arial" w:cs="Arial" w:eastAsia="Arial" w:hAnsi="Arial"/>
                <w:sz w:val="14"/>
                <w:szCs w:val="14"/>
                <w:b w:val="1"/>
                <w:bCs w:val="1"/>
                <w:color w:val="auto"/>
              </w:rPr>
              <w:t>(Audited)</w:t>
            </w:r>
          </w:p>
        </w:tc>
      </w:tr>
      <w:tr>
        <w:trPr>
          <w:trHeight w:val="210"/>
        </w:trPr>
        <w:tc>
          <w:tcPr>
            <w:tcW w:w="5260" w:type="dxa"/>
            <w:vAlign w:val="bottom"/>
          </w:tcPr>
          <w:p>
            <w:pPr>
              <w:ind w:left="260"/>
              <w:spacing w:after="0"/>
              <w:rPr>
                <w:sz w:val="20"/>
                <w:szCs w:val="20"/>
                <w:color w:val="auto"/>
              </w:rPr>
            </w:pPr>
            <w:r>
              <w:rPr>
                <w:rFonts w:ascii="Arial" w:cs="Arial" w:eastAsia="Arial" w:hAnsi="Arial"/>
                <w:sz w:val="14"/>
                <w:szCs w:val="14"/>
                <w:color w:val="auto"/>
              </w:rPr>
              <w:t>Cash and cash equivalents</w:t>
            </w:r>
          </w:p>
        </w:tc>
        <w:tc>
          <w:tcPr>
            <w:tcW w:w="2640" w:type="dxa"/>
            <w:vAlign w:val="bottom"/>
          </w:tcPr>
          <w:p>
            <w:pPr>
              <w:jc w:val="right"/>
              <w:ind w:right="248"/>
              <w:spacing w:after="0"/>
              <w:rPr>
                <w:sz w:val="20"/>
                <w:szCs w:val="20"/>
                <w:color w:val="auto"/>
              </w:rPr>
            </w:pPr>
            <w:r>
              <w:rPr>
                <w:rFonts w:ascii="Arial" w:cs="Arial" w:eastAsia="Arial" w:hAnsi="Arial"/>
                <w:sz w:val="14"/>
                <w:szCs w:val="14"/>
                <w:color w:val="auto"/>
              </w:rPr>
              <w:t>374,223</w:t>
            </w: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382,554</w:t>
            </w:r>
          </w:p>
        </w:tc>
      </w:tr>
      <w:tr>
        <w:trPr>
          <w:trHeight w:val="220"/>
        </w:trPr>
        <w:tc>
          <w:tcPr>
            <w:tcW w:w="526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Short-term investments</w:t>
            </w:r>
          </w:p>
        </w:tc>
        <w:tc>
          <w:tcPr>
            <w:tcW w:w="26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959,457</w:t>
            </w:r>
          </w:p>
        </w:tc>
        <w:tc>
          <w:tcPr>
            <w:tcW w:w="1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955,604</w:t>
            </w:r>
          </w:p>
        </w:tc>
      </w:tr>
      <w:tr>
        <w:trPr>
          <w:trHeight w:val="211"/>
        </w:trPr>
        <w:tc>
          <w:tcPr>
            <w:tcW w:w="5260" w:type="dxa"/>
            <w:vAlign w:val="bottom"/>
          </w:tcPr>
          <w:p>
            <w:pPr>
              <w:ind w:left="180"/>
              <w:spacing w:after="0"/>
              <w:rPr>
                <w:sz w:val="20"/>
                <w:szCs w:val="20"/>
                <w:color w:val="auto"/>
              </w:rPr>
            </w:pPr>
            <w:r>
              <w:rPr>
                <w:rFonts w:ascii="Arial" w:cs="Arial" w:eastAsia="Arial" w:hAnsi="Arial"/>
                <w:sz w:val="14"/>
                <w:szCs w:val="14"/>
                <w:b w:val="1"/>
                <w:bCs w:val="1"/>
                <w:color w:val="auto"/>
              </w:rPr>
              <w:t>Total cash, cash equivalents and short-term investments</w:t>
            </w:r>
          </w:p>
        </w:tc>
        <w:tc>
          <w:tcPr>
            <w:tcW w:w="2640" w:type="dxa"/>
            <w:vAlign w:val="bottom"/>
          </w:tcPr>
          <w:p>
            <w:pPr>
              <w:jc w:val="right"/>
              <w:ind w:right="248"/>
              <w:spacing w:after="0"/>
              <w:rPr>
                <w:sz w:val="20"/>
                <w:szCs w:val="20"/>
                <w:color w:val="auto"/>
              </w:rPr>
            </w:pPr>
            <w:r>
              <w:rPr>
                <w:rFonts w:ascii="Arial" w:cs="Arial" w:eastAsia="Arial" w:hAnsi="Arial"/>
                <w:sz w:val="14"/>
                <w:szCs w:val="14"/>
                <w:b w:val="1"/>
                <w:bCs w:val="1"/>
                <w:color w:val="auto"/>
              </w:rPr>
              <w:t>1,333,680</w:t>
            </w:r>
          </w:p>
        </w:tc>
        <w:tc>
          <w:tcPr>
            <w:tcW w:w="1780" w:type="dxa"/>
            <w:vAlign w:val="bottom"/>
          </w:tcPr>
          <w:p>
            <w:pPr>
              <w:jc w:val="right"/>
              <w:ind w:right="8"/>
              <w:spacing w:after="0"/>
              <w:rPr>
                <w:sz w:val="20"/>
                <w:szCs w:val="20"/>
                <w:color w:val="auto"/>
              </w:rPr>
            </w:pPr>
            <w:r>
              <w:rPr>
                <w:rFonts w:ascii="Arial" w:cs="Arial" w:eastAsia="Arial" w:hAnsi="Arial"/>
                <w:sz w:val="14"/>
                <w:szCs w:val="14"/>
                <w:b w:val="1"/>
                <w:bCs w:val="1"/>
                <w:color w:val="auto"/>
              </w:rPr>
              <w:t>1,338,159</w:t>
            </w:r>
          </w:p>
        </w:tc>
      </w:tr>
      <w:tr>
        <w:trPr>
          <w:trHeight w:val="210"/>
        </w:trPr>
        <w:tc>
          <w:tcPr>
            <w:tcW w:w="5260" w:type="dxa"/>
            <w:vAlign w:val="bottom"/>
          </w:tcPr>
          <w:p>
            <w:pPr>
              <w:ind w:left="260"/>
              <w:spacing w:after="0"/>
              <w:rPr>
                <w:sz w:val="20"/>
                <w:szCs w:val="20"/>
                <w:color w:val="auto"/>
              </w:rPr>
            </w:pPr>
            <w:r>
              <w:rPr>
                <w:rFonts w:ascii="Arial" w:cs="Arial" w:eastAsia="Arial" w:hAnsi="Arial"/>
                <w:sz w:val="14"/>
                <w:szCs w:val="14"/>
                <w:color w:val="auto"/>
              </w:rPr>
              <w:t>Accounts receivable, net</w:t>
            </w:r>
          </w:p>
        </w:tc>
        <w:tc>
          <w:tcPr>
            <w:tcW w:w="2640" w:type="dxa"/>
            <w:vAlign w:val="bottom"/>
          </w:tcPr>
          <w:p>
            <w:pPr>
              <w:jc w:val="right"/>
              <w:ind w:right="248"/>
              <w:spacing w:after="0"/>
              <w:rPr>
                <w:sz w:val="20"/>
                <w:szCs w:val="20"/>
                <w:color w:val="auto"/>
              </w:rPr>
            </w:pPr>
            <w:r>
              <w:rPr>
                <w:rFonts w:ascii="Arial" w:cs="Arial" w:eastAsia="Arial" w:hAnsi="Arial"/>
                <w:sz w:val="14"/>
                <w:szCs w:val="14"/>
                <w:color w:val="auto"/>
              </w:rPr>
              <w:t>204,725</w:t>
            </w: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194,425</w:t>
            </w:r>
          </w:p>
        </w:tc>
      </w:tr>
      <w:tr>
        <w:trPr>
          <w:trHeight w:val="216"/>
        </w:trPr>
        <w:tc>
          <w:tcPr>
            <w:tcW w:w="5260" w:type="dxa"/>
            <w:vAlign w:val="bottom"/>
          </w:tcPr>
          <w:p>
            <w:pPr>
              <w:ind w:left="260"/>
              <w:spacing w:after="0"/>
              <w:rPr>
                <w:sz w:val="20"/>
                <w:szCs w:val="20"/>
                <w:color w:val="auto"/>
              </w:rPr>
            </w:pPr>
            <w:r>
              <w:rPr>
                <w:rFonts w:ascii="Arial" w:cs="Arial" w:eastAsia="Arial" w:hAnsi="Arial"/>
                <w:sz w:val="14"/>
                <w:szCs w:val="14"/>
                <w:color w:val="auto"/>
              </w:rPr>
              <w:t>Accounts receivable from related parties</w:t>
            </w:r>
          </w:p>
        </w:tc>
        <w:tc>
          <w:tcPr>
            <w:tcW w:w="2640" w:type="dxa"/>
            <w:vAlign w:val="bottom"/>
          </w:tcPr>
          <w:p>
            <w:pPr>
              <w:jc w:val="right"/>
              <w:ind w:right="248"/>
              <w:spacing w:after="0"/>
              <w:rPr>
                <w:sz w:val="20"/>
                <w:szCs w:val="20"/>
                <w:color w:val="auto"/>
              </w:rPr>
            </w:pPr>
            <w:r>
              <w:rPr>
                <w:rFonts w:ascii="Arial" w:cs="Arial" w:eastAsia="Arial" w:hAnsi="Arial"/>
                <w:sz w:val="14"/>
                <w:szCs w:val="14"/>
                <w:color w:val="auto"/>
              </w:rPr>
              <w:t>3,019</w:t>
            </w: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3,217</w:t>
            </w:r>
          </w:p>
        </w:tc>
      </w:tr>
      <w:tr>
        <w:trPr>
          <w:trHeight w:val="216"/>
        </w:trPr>
        <w:tc>
          <w:tcPr>
            <w:tcW w:w="5260" w:type="dxa"/>
            <w:vAlign w:val="bottom"/>
          </w:tcPr>
          <w:p>
            <w:pPr>
              <w:ind w:left="260"/>
              <w:spacing w:after="0"/>
              <w:rPr>
                <w:sz w:val="20"/>
                <w:szCs w:val="20"/>
                <w:color w:val="auto"/>
              </w:rPr>
            </w:pPr>
            <w:r>
              <w:rPr>
                <w:rFonts w:ascii="Arial" w:cs="Arial" w:eastAsia="Arial" w:hAnsi="Arial"/>
                <w:sz w:val="14"/>
                <w:szCs w:val="14"/>
                <w:color w:val="auto"/>
              </w:rPr>
              <w:t>Expendable parts and supplies, net</w:t>
            </w:r>
          </w:p>
        </w:tc>
        <w:tc>
          <w:tcPr>
            <w:tcW w:w="2640" w:type="dxa"/>
            <w:vAlign w:val="bottom"/>
          </w:tcPr>
          <w:p>
            <w:pPr>
              <w:jc w:val="right"/>
              <w:ind w:right="248"/>
              <w:spacing w:after="0"/>
              <w:rPr>
                <w:sz w:val="20"/>
                <w:szCs w:val="20"/>
                <w:color w:val="auto"/>
              </w:rPr>
            </w:pPr>
            <w:r>
              <w:rPr>
                <w:rFonts w:ascii="Arial" w:cs="Arial" w:eastAsia="Arial" w:hAnsi="Arial"/>
                <w:sz w:val="14"/>
                <w:szCs w:val="14"/>
                <w:color w:val="auto"/>
              </w:rPr>
              <w:t>152,247</w:t>
            </w: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148,127</w:t>
            </w:r>
          </w:p>
        </w:tc>
      </w:tr>
      <w:tr>
        <w:trPr>
          <w:trHeight w:val="216"/>
        </w:trPr>
        <w:tc>
          <w:tcPr>
            <w:tcW w:w="5260" w:type="dxa"/>
            <w:vAlign w:val="bottom"/>
          </w:tcPr>
          <w:p>
            <w:pPr>
              <w:ind w:left="260"/>
              <w:spacing w:after="0"/>
              <w:rPr>
                <w:sz w:val="20"/>
                <w:szCs w:val="20"/>
                <w:color w:val="auto"/>
              </w:rPr>
            </w:pPr>
            <w:r>
              <w:rPr>
                <w:rFonts w:ascii="Arial" w:cs="Arial" w:eastAsia="Arial" w:hAnsi="Arial"/>
                <w:sz w:val="14"/>
                <w:szCs w:val="14"/>
                <w:color w:val="auto"/>
              </w:rPr>
              <w:t>Prepaid expenses</w:t>
            </w:r>
          </w:p>
        </w:tc>
        <w:tc>
          <w:tcPr>
            <w:tcW w:w="2640" w:type="dxa"/>
            <w:vAlign w:val="bottom"/>
          </w:tcPr>
          <w:p>
            <w:pPr>
              <w:jc w:val="right"/>
              <w:ind w:right="248"/>
              <w:spacing w:after="0"/>
              <w:rPr>
                <w:sz w:val="20"/>
                <w:szCs w:val="20"/>
                <w:color w:val="auto"/>
              </w:rPr>
            </w:pPr>
            <w:r>
              <w:rPr>
                <w:rFonts w:ascii="Arial" w:cs="Arial" w:eastAsia="Arial" w:hAnsi="Arial"/>
                <w:sz w:val="14"/>
                <w:szCs w:val="14"/>
                <w:color w:val="auto"/>
              </w:rPr>
              <w:t>89,588</w:t>
            </w: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55,209</w:t>
            </w:r>
          </w:p>
        </w:tc>
      </w:tr>
      <w:tr>
        <w:trPr>
          <w:trHeight w:val="216"/>
        </w:trPr>
        <w:tc>
          <w:tcPr>
            <w:tcW w:w="5260" w:type="dxa"/>
            <w:vAlign w:val="bottom"/>
          </w:tcPr>
          <w:p>
            <w:pPr>
              <w:ind w:left="260"/>
              <w:spacing w:after="0"/>
              <w:rPr>
                <w:sz w:val="20"/>
                <w:szCs w:val="20"/>
                <w:color w:val="auto"/>
              </w:rPr>
            </w:pPr>
            <w:r>
              <w:rPr>
                <w:rFonts w:ascii="Arial" w:cs="Arial" w:eastAsia="Arial" w:hAnsi="Arial"/>
                <w:sz w:val="14"/>
                <w:szCs w:val="14"/>
                <w:color w:val="auto"/>
              </w:rPr>
              <w:t>Prepaid income tax</w:t>
            </w:r>
          </w:p>
        </w:tc>
        <w:tc>
          <w:tcPr>
            <w:tcW w:w="2640" w:type="dxa"/>
            <w:vAlign w:val="bottom"/>
          </w:tcPr>
          <w:p>
            <w:pPr>
              <w:jc w:val="right"/>
              <w:ind w:right="248"/>
              <w:spacing w:after="0"/>
              <w:rPr>
                <w:sz w:val="20"/>
                <w:szCs w:val="20"/>
                <w:color w:val="auto"/>
              </w:rPr>
            </w:pPr>
            <w:r>
              <w:rPr>
                <w:rFonts w:ascii="Arial" w:cs="Arial" w:eastAsia="Arial" w:hAnsi="Arial"/>
                <w:sz w:val="14"/>
                <w:szCs w:val="14"/>
                <w:color w:val="auto"/>
              </w:rPr>
              <w:t>4,836</w:t>
            </w: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6,172</w:t>
            </w:r>
          </w:p>
        </w:tc>
      </w:tr>
      <w:tr>
        <w:trPr>
          <w:trHeight w:val="220"/>
        </w:trPr>
        <w:tc>
          <w:tcPr>
            <w:tcW w:w="526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Other current assets</w:t>
            </w:r>
          </w:p>
        </w:tc>
        <w:tc>
          <w:tcPr>
            <w:tcW w:w="26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29,291</w:t>
            </w:r>
          </w:p>
        </w:tc>
        <w:tc>
          <w:tcPr>
            <w:tcW w:w="1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32,769</w:t>
            </w:r>
          </w:p>
        </w:tc>
      </w:tr>
      <w:tr>
        <w:trPr>
          <w:trHeight w:val="213"/>
        </w:trPr>
        <w:tc>
          <w:tcPr>
            <w:tcW w:w="526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483,706</w:t>
            </w:r>
          </w:p>
        </w:tc>
        <w:tc>
          <w:tcPr>
            <w:tcW w:w="1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439,919</w:t>
            </w:r>
          </w:p>
        </w:tc>
      </w:tr>
      <w:tr>
        <w:trPr>
          <w:trHeight w:val="208"/>
        </w:trPr>
        <w:tc>
          <w:tcPr>
            <w:tcW w:w="5260" w:type="dxa"/>
            <w:vAlign w:val="bottom"/>
          </w:tcPr>
          <w:p>
            <w:pPr>
              <w:ind w:left="100"/>
              <w:spacing w:after="0"/>
              <w:rPr>
                <w:sz w:val="20"/>
                <w:szCs w:val="20"/>
                <w:color w:val="auto"/>
              </w:rPr>
            </w:pPr>
            <w:r>
              <w:rPr>
                <w:rFonts w:ascii="Arial" w:cs="Arial" w:eastAsia="Arial" w:hAnsi="Arial"/>
                <w:sz w:val="14"/>
                <w:szCs w:val="14"/>
                <w:b w:val="1"/>
                <w:bCs w:val="1"/>
                <w:color w:val="auto"/>
              </w:rPr>
              <w:t>TOTAL CURRENT ASSETS</w:t>
            </w:r>
          </w:p>
        </w:tc>
        <w:tc>
          <w:tcPr>
            <w:tcW w:w="2640" w:type="dxa"/>
            <w:vAlign w:val="bottom"/>
          </w:tcPr>
          <w:p>
            <w:pPr>
              <w:jc w:val="right"/>
              <w:ind w:right="248"/>
              <w:spacing w:after="0"/>
              <w:rPr>
                <w:sz w:val="20"/>
                <w:szCs w:val="20"/>
                <w:color w:val="auto"/>
              </w:rPr>
            </w:pPr>
            <w:r>
              <w:rPr>
                <w:rFonts w:ascii="Arial" w:cs="Arial" w:eastAsia="Arial" w:hAnsi="Arial"/>
                <w:sz w:val="14"/>
                <w:szCs w:val="14"/>
                <w:b w:val="1"/>
                <w:bCs w:val="1"/>
                <w:color w:val="auto"/>
              </w:rPr>
              <w:t>1,817,386</w:t>
            </w:r>
          </w:p>
        </w:tc>
        <w:tc>
          <w:tcPr>
            <w:tcW w:w="1780" w:type="dxa"/>
            <w:vAlign w:val="bottom"/>
          </w:tcPr>
          <w:p>
            <w:pPr>
              <w:jc w:val="right"/>
              <w:ind w:right="8"/>
              <w:spacing w:after="0"/>
              <w:rPr>
                <w:sz w:val="20"/>
                <w:szCs w:val="20"/>
                <w:color w:val="auto"/>
              </w:rPr>
            </w:pPr>
            <w:r>
              <w:rPr>
                <w:rFonts w:ascii="Arial" w:cs="Arial" w:eastAsia="Arial" w:hAnsi="Arial"/>
                <w:sz w:val="14"/>
                <w:szCs w:val="14"/>
                <w:b w:val="1"/>
                <w:bCs w:val="1"/>
                <w:color w:val="auto"/>
              </w:rPr>
              <w:t>1,778,078</w:t>
            </w:r>
          </w:p>
        </w:tc>
      </w:tr>
      <w:tr>
        <w:trPr>
          <w:trHeight w:val="210"/>
        </w:trPr>
        <w:tc>
          <w:tcPr>
            <w:tcW w:w="5260" w:type="dxa"/>
            <w:vAlign w:val="bottom"/>
          </w:tcPr>
          <w:p>
            <w:pPr>
              <w:ind w:left="180"/>
              <w:spacing w:after="0"/>
              <w:rPr>
                <w:sz w:val="20"/>
                <w:szCs w:val="20"/>
                <w:color w:val="auto"/>
              </w:rPr>
            </w:pPr>
            <w:r>
              <w:rPr>
                <w:rFonts w:ascii="Arial" w:cs="Arial" w:eastAsia="Arial" w:hAnsi="Arial"/>
                <w:sz w:val="14"/>
                <w:szCs w:val="14"/>
                <w:color w:val="auto"/>
              </w:rPr>
              <w:t>Long-term investments</w:t>
            </w:r>
          </w:p>
        </w:tc>
        <w:tc>
          <w:tcPr>
            <w:tcW w:w="2640" w:type="dxa"/>
            <w:vAlign w:val="bottom"/>
          </w:tcPr>
          <w:p>
            <w:pPr>
              <w:jc w:val="right"/>
              <w:ind w:right="248"/>
              <w:spacing w:after="0"/>
              <w:rPr>
                <w:sz w:val="20"/>
                <w:szCs w:val="20"/>
                <w:color w:val="auto"/>
              </w:rPr>
            </w:pPr>
            <w:r>
              <w:rPr>
                <w:rFonts w:ascii="Arial" w:cs="Arial" w:eastAsia="Arial" w:hAnsi="Arial"/>
                <w:sz w:val="14"/>
                <w:szCs w:val="14"/>
                <w:color w:val="auto"/>
              </w:rPr>
              <w:t>190,157</w:t>
            </w: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248,579</w:t>
            </w:r>
          </w:p>
        </w:tc>
      </w:tr>
      <w:tr>
        <w:trPr>
          <w:trHeight w:val="216"/>
        </w:trPr>
        <w:tc>
          <w:tcPr>
            <w:tcW w:w="5260" w:type="dxa"/>
            <w:vAlign w:val="bottom"/>
          </w:tcPr>
          <w:p>
            <w:pPr>
              <w:ind w:left="180"/>
              <w:spacing w:after="0"/>
              <w:rPr>
                <w:sz w:val="20"/>
                <w:szCs w:val="20"/>
                <w:color w:val="auto"/>
              </w:rPr>
            </w:pPr>
            <w:r>
              <w:rPr>
                <w:rFonts w:ascii="Arial" w:cs="Arial" w:eastAsia="Arial" w:hAnsi="Arial"/>
                <w:sz w:val="14"/>
                <w:szCs w:val="14"/>
                <w:color w:val="auto"/>
              </w:rPr>
              <w:t>Long-term prepaid expenses</w:t>
            </w:r>
          </w:p>
        </w:tc>
        <w:tc>
          <w:tcPr>
            <w:tcW w:w="2640" w:type="dxa"/>
            <w:vAlign w:val="bottom"/>
          </w:tcPr>
          <w:p>
            <w:pPr>
              <w:jc w:val="right"/>
              <w:ind w:right="248"/>
              <w:spacing w:after="0"/>
              <w:rPr>
                <w:sz w:val="20"/>
                <w:szCs w:val="20"/>
                <w:color w:val="auto"/>
              </w:rPr>
            </w:pPr>
            <w:r>
              <w:rPr>
                <w:rFonts w:ascii="Arial" w:cs="Arial" w:eastAsia="Arial" w:hAnsi="Arial"/>
                <w:sz w:val="14"/>
                <w:szCs w:val="14"/>
                <w:color w:val="auto"/>
              </w:rPr>
              <w:t>5,991</w:t>
            </w: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5,434</w:t>
            </w:r>
          </w:p>
        </w:tc>
      </w:tr>
      <w:tr>
        <w:trPr>
          <w:trHeight w:val="216"/>
        </w:trPr>
        <w:tc>
          <w:tcPr>
            <w:tcW w:w="5260" w:type="dxa"/>
            <w:vAlign w:val="bottom"/>
          </w:tcPr>
          <w:p>
            <w:pPr>
              <w:ind w:left="180"/>
              <w:spacing w:after="0"/>
              <w:rPr>
                <w:sz w:val="20"/>
                <w:szCs w:val="20"/>
                <w:color w:val="auto"/>
              </w:rPr>
            </w:pPr>
            <w:r>
              <w:rPr>
                <w:rFonts w:ascii="Arial" w:cs="Arial" w:eastAsia="Arial" w:hAnsi="Arial"/>
                <w:sz w:val="14"/>
                <w:szCs w:val="14"/>
                <w:color w:val="auto"/>
              </w:rPr>
              <w:t>Property and equipment, net</w:t>
            </w:r>
          </w:p>
        </w:tc>
        <w:tc>
          <w:tcPr>
            <w:tcW w:w="2640" w:type="dxa"/>
            <w:vAlign w:val="bottom"/>
          </w:tcPr>
          <w:p>
            <w:pPr>
              <w:jc w:val="right"/>
              <w:ind w:right="248"/>
              <w:spacing w:after="0"/>
              <w:rPr>
                <w:sz w:val="20"/>
                <w:szCs w:val="20"/>
                <w:color w:val="auto"/>
              </w:rPr>
            </w:pPr>
            <w:r>
              <w:rPr>
                <w:rFonts w:ascii="Arial" w:cs="Arial" w:eastAsia="Arial" w:hAnsi="Arial"/>
                <w:sz w:val="14"/>
                <w:szCs w:val="14"/>
                <w:color w:val="auto"/>
              </w:rPr>
              <w:t>4,461,063</w:t>
            </w: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4,120,055</w:t>
            </w:r>
          </w:p>
        </w:tc>
      </w:tr>
      <w:tr>
        <w:trPr>
          <w:trHeight w:val="216"/>
        </w:trPr>
        <w:tc>
          <w:tcPr>
            <w:tcW w:w="5260" w:type="dxa"/>
            <w:vAlign w:val="bottom"/>
          </w:tcPr>
          <w:p>
            <w:pPr>
              <w:ind w:left="180"/>
              <w:spacing w:after="0"/>
              <w:rPr>
                <w:sz w:val="20"/>
                <w:szCs w:val="20"/>
                <w:color w:val="auto"/>
              </w:rPr>
            </w:pPr>
            <w:r>
              <w:rPr>
                <w:rFonts w:ascii="Arial" w:cs="Arial" w:eastAsia="Arial" w:hAnsi="Arial"/>
                <w:sz w:val="14"/>
                <w:szCs w:val="14"/>
                <w:color w:val="auto"/>
              </w:rPr>
              <w:t>Right of use assets</w:t>
            </w:r>
          </w:p>
        </w:tc>
        <w:tc>
          <w:tcPr>
            <w:tcW w:w="2640" w:type="dxa"/>
            <w:vAlign w:val="bottom"/>
          </w:tcPr>
          <w:p>
            <w:pPr>
              <w:jc w:val="right"/>
              <w:ind w:right="248"/>
              <w:spacing w:after="0"/>
              <w:rPr>
                <w:sz w:val="20"/>
                <w:szCs w:val="20"/>
                <w:color w:val="auto"/>
              </w:rPr>
            </w:pPr>
            <w:r>
              <w:rPr>
                <w:rFonts w:ascii="Arial" w:cs="Arial" w:eastAsia="Arial" w:hAnsi="Arial"/>
                <w:sz w:val="14"/>
                <w:szCs w:val="14"/>
                <w:color w:val="auto"/>
              </w:rPr>
              <w:t>279,918</w:t>
            </w: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296,761</w:t>
            </w:r>
          </w:p>
        </w:tc>
      </w:tr>
      <w:tr>
        <w:trPr>
          <w:trHeight w:val="216"/>
        </w:trPr>
        <w:tc>
          <w:tcPr>
            <w:tcW w:w="5260" w:type="dxa"/>
            <w:vAlign w:val="bottom"/>
          </w:tcPr>
          <w:p>
            <w:pPr>
              <w:ind w:left="180"/>
              <w:spacing w:after="0"/>
              <w:rPr>
                <w:sz w:val="20"/>
                <w:szCs w:val="20"/>
                <w:color w:val="auto"/>
              </w:rPr>
            </w:pPr>
            <w:r>
              <w:rPr>
                <w:rFonts w:ascii="Arial" w:cs="Arial" w:eastAsia="Arial" w:hAnsi="Arial"/>
                <w:sz w:val="14"/>
                <w:szCs w:val="14"/>
                <w:color w:val="auto"/>
              </w:rPr>
              <w:t>Intangible, net</w:t>
            </w:r>
          </w:p>
        </w:tc>
        <w:tc>
          <w:tcPr>
            <w:tcW w:w="2640" w:type="dxa"/>
            <w:vAlign w:val="bottom"/>
          </w:tcPr>
          <w:p>
            <w:pPr>
              <w:jc w:val="right"/>
              <w:ind w:right="248"/>
              <w:spacing w:after="0"/>
              <w:rPr>
                <w:sz w:val="20"/>
                <w:szCs w:val="20"/>
                <w:color w:val="auto"/>
              </w:rPr>
            </w:pPr>
            <w:r>
              <w:rPr>
                <w:rFonts w:ascii="Arial" w:cs="Arial" w:eastAsia="Arial" w:hAnsi="Arial"/>
                <w:sz w:val="14"/>
                <w:szCs w:val="14"/>
                <w:color w:val="auto"/>
              </w:rPr>
              <w:t>104,477</w:t>
            </w: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104,071</w:t>
            </w:r>
          </w:p>
        </w:tc>
      </w:tr>
      <w:tr>
        <w:trPr>
          <w:trHeight w:val="216"/>
        </w:trPr>
        <w:tc>
          <w:tcPr>
            <w:tcW w:w="5260" w:type="dxa"/>
            <w:vAlign w:val="bottom"/>
          </w:tcPr>
          <w:p>
            <w:pPr>
              <w:ind w:left="180"/>
              <w:spacing w:after="0"/>
              <w:rPr>
                <w:sz w:val="20"/>
                <w:szCs w:val="20"/>
                <w:color w:val="auto"/>
              </w:rPr>
            </w:pPr>
            <w:r>
              <w:rPr>
                <w:rFonts w:ascii="Arial" w:cs="Arial" w:eastAsia="Arial" w:hAnsi="Arial"/>
                <w:sz w:val="14"/>
                <w:szCs w:val="14"/>
                <w:color w:val="auto"/>
              </w:rPr>
              <w:t>Net defined benefit assets</w:t>
            </w:r>
          </w:p>
        </w:tc>
        <w:tc>
          <w:tcPr>
            <w:tcW w:w="2640" w:type="dxa"/>
            <w:vAlign w:val="bottom"/>
          </w:tcPr>
          <w:p>
            <w:pPr>
              <w:jc w:val="right"/>
              <w:ind w:right="248"/>
              <w:spacing w:after="0"/>
              <w:rPr>
                <w:sz w:val="20"/>
                <w:szCs w:val="20"/>
                <w:color w:val="auto"/>
              </w:rPr>
            </w:pPr>
            <w:r>
              <w:rPr>
                <w:rFonts w:ascii="Arial" w:cs="Arial" w:eastAsia="Arial" w:hAnsi="Arial"/>
                <w:sz w:val="14"/>
                <w:szCs w:val="14"/>
                <w:color w:val="auto"/>
              </w:rPr>
              <w:t>3,157</w:t>
            </w: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3,220</w:t>
            </w:r>
          </w:p>
        </w:tc>
      </w:tr>
      <w:tr>
        <w:trPr>
          <w:trHeight w:val="216"/>
        </w:trPr>
        <w:tc>
          <w:tcPr>
            <w:tcW w:w="5260" w:type="dxa"/>
            <w:vAlign w:val="bottom"/>
          </w:tcPr>
          <w:p>
            <w:pPr>
              <w:ind w:left="180"/>
              <w:spacing w:after="0"/>
              <w:rPr>
                <w:sz w:val="20"/>
                <w:szCs w:val="20"/>
                <w:color w:val="auto"/>
              </w:rPr>
            </w:pPr>
            <w:r>
              <w:rPr>
                <w:rFonts w:ascii="Arial" w:cs="Arial" w:eastAsia="Arial" w:hAnsi="Arial"/>
                <w:sz w:val="14"/>
                <w:szCs w:val="14"/>
                <w:color w:val="auto"/>
              </w:rPr>
              <w:t>Deferred tax assets</w:t>
            </w:r>
          </w:p>
        </w:tc>
        <w:tc>
          <w:tcPr>
            <w:tcW w:w="2640" w:type="dxa"/>
            <w:vAlign w:val="bottom"/>
          </w:tcPr>
          <w:p>
            <w:pPr>
              <w:jc w:val="right"/>
              <w:ind w:right="248"/>
              <w:spacing w:after="0"/>
              <w:rPr>
                <w:sz w:val="20"/>
                <w:szCs w:val="20"/>
                <w:color w:val="auto"/>
              </w:rPr>
            </w:pPr>
            <w:r>
              <w:rPr>
                <w:rFonts w:ascii="Arial" w:cs="Arial" w:eastAsia="Arial" w:hAnsi="Arial"/>
                <w:sz w:val="14"/>
                <w:szCs w:val="14"/>
                <w:color w:val="auto"/>
              </w:rPr>
              <w:t>20,308</w:t>
            </w: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19,873</w:t>
            </w:r>
          </w:p>
        </w:tc>
      </w:tr>
      <w:tr>
        <w:trPr>
          <w:trHeight w:val="220"/>
        </w:trPr>
        <w:tc>
          <w:tcPr>
            <w:tcW w:w="52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 Non-Current Assets</w:t>
            </w:r>
          </w:p>
        </w:tc>
        <w:tc>
          <w:tcPr>
            <w:tcW w:w="26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12,060</w:t>
            </w:r>
          </w:p>
        </w:tc>
        <w:tc>
          <w:tcPr>
            <w:tcW w:w="1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6,952</w:t>
            </w:r>
          </w:p>
        </w:tc>
      </w:tr>
      <w:tr>
        <w:trPr>
          <w:trHeight w:val="213"/>
        </w:trPr>
        <w:tc>
          <w:tcPr>
            <w:tcW w:w="52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TOTAL NON-CURRENT ASSETS</w:t>
            </w:r>
          </w:p>
        </w:tc>
        <w:tc>
          <w:tcPr>
            <w:tcW w:w="26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5,077,131</w:t>
            </w:r>
          </w:p>
        </w:tc>
        <w:tc>
          <w:tcPr>
            <w:tcW w:w="1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4,804,946</w:t>
            </w:r>
          </w:p>
        </w:tc>
      </w:tr>
      <w:tr>
        <w:trPr>
          <w:trHeight w:val="209"/>
        </w:trPr>
        <w:tc>
          <w:tcPr>
            <w:tcW w:w="526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2640" w:type="dxa"/>
            <w:vAlign w:val="bottom"/>
          </w:tcPr>
          <w:p>
            <w:pPr>
              <w:jc w:val="right"/>
              <w:ind w:right="248"/>
              <w:spacing w:after="0"/>
              <w:rPr>
                <w:sz w:val="20"/>
                <w:szCs w:val="20"/>
                <w:color w:val="auto"/>
              </w:rPr>
            </w:pPr>
            <w:r>
              <w:rPr>
                <w:rFonts w:ascii="Arial" w:cs="Arial" w:eastAsia="Arial" w:hAnsi="Arial"/>
                <w:sz w:val="14"/>
                <w:szCs w:val="14"/>
                <w:b w:val="1"/>
                <w:bCs w:val="1"/>
                <w:color w:val="auto"/>
              </w:rPr>
              <w:t>6,894,517</w:t>
            </w:r>
          </w:p>
        </w:tc>
        <w:tc>
          <w:tcPr>
            <w:tcW w:w="1780" w:type="dxa"/>
            <w:vAlign w:val="bottom"/>
          </w:tcPr>
          <w:p>
            <w:pPr>
              <w:jc w:val="right"/>
              <w:ind w:right="8"/>
              <w:spacing w:after="0"/>
              <w:rPr>
                <w:sz w:val="20"/>
                <w:szCs w:val="20"/>
                <w:color w:val="auto"/>
              </w:rPr>
            </w:pPr>
            <w:r>
              <w:rPr>
                <w:rFonts w:ascii="Arial" w:cs="Arial" w:eastAsia="Arial" w:hAnsi="Arial"/>
                <w:sz w:val="14"/>
                <w:szCs w:val="14"/>
                <w:b w:val="1"/>
                <w:bCs w:val="1"/>
                <w:color w:val="auto"/>
              </w:rPr>
              <w:t>6,583,024</w:t>
            </w:r>
          </w:p>
        </w:tc>
      </w:tr>
      <w:tr>
        <w:trPr>
          <w:trHeight w:val="216"/>
        </w:trPr>
        <w:tc>
          <w:tcPr>
            <w:tcW w:w="5260" w:type="dxa"/>
            <w:vAlign w:val="bottom"/>
          </w:tcPr>
          <w:p>
            <w:pPr>
              <w:jc w:val="center"/>
              <w:ind w:left="608"/>
              <w:spacing w:after="0"/>
              <w:rPr>
                <w:sz w:val="20"/>
                <w:szCs w:val="20"/>
                <w:color w:val="auto"/>
              </w:rPr>
            </w:pPr>
            <w:r>
              <w:rPr>
                <w:rFonts w:ascii="Arial" w:cs="Arial" w:eastAsia="Arial" w:hAnsi="Arial"/>
                <w:sz w:val="14"/>
                <w:szCs w:val="14"/>
                <w:b w:val="1"/>
                <w:bCs w:val="1"/>
                <w:color w:val="auto"/>
              </w:rPr>
              <w:t>LIABILITIES</w:t>
            </w:r>
          </w:p>
        </w:tc>
        <w:tc>
          <w:tcPr>
            <w:tcW w:w="264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0"/>
        </w:trPr>
        <w:tc>
          <w:tcPr>
            <w:tcW w:w="5260" w:type="dxa"/>
            <w:vAlign w:val="bottom"/>
          </w:tcPr>
          <w:p>
            <w:pPr>
              <w:ind w:left="260"/>
              <w:spacing w:after="0"/>
              <w:rPr>
                <w:sz w:val="20"/>
                <w:szCs w:val="20"/>
                <w:color w:val="auto"/>
              </w:rPr>
            </w:pPr>
            <w:r>
              <w:rPr>
                <w:rFonts w:ascii="Arial" w:cs="Arial" w:eastAsia="Arial" w:hAnsi="Arial"/>
                <w:sz w:val="14"/>
                <w:szCs w:val="14"/>
                <w:color w:val="auto"/>
              </w:rPr>
              <w:t>Loans and borrowings</w:t>
            </w:r>
          </w:p>
        </w:tc>
        <w:tc>
          <w:tcPr>
            <w:tcW w:w="2640" w:type="dxa"/>
            <w:vAlign w:val="bottom"/>
          </w:tcPr>
          <w:p>
            <w:pPr>
              <w:jc w:val="right"/>
              <w:ind w:right="248"/>
              <w:spacing w:after="0"/>
              <w:rPr>
                <w:sz w:val="20"/>
                <w:szCs w:val="20"/>
                <w:color w:val="auto"/>
              </w:rPr>
            </w:pPr>
            <w:r>
              <w:rPr>
                <w:rFonts w:ascii="Arial" w:cs="Arial" w:eastAsia="Arial" w:hAnsi="Arial"/>
                <w:sz w:val="14"/>
                <w:szCs w:val="14"/>
                <w:color w:val="auto"/>
              </w:rPr>
              <w:t>218,254</w:t>
            </w: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172,885</w:t>
            </w:r>
          </w:p>
        </w:tc>
      </w:tr>
      <w:tr>
        <w:trPr>
          <w:trHeight w:val="216"/>
        </w:trPr>
        <w:tc>
          <w:tcPr>
            <w:tcW w:w="5260" w:type="dxa"/>
            <w:vAlign w:val="bottom"/>
          </w:tcPr>
          <w:p>
            <w:pPr>
              <w:ind w:left="260"/>
              <w:spacing w:after="0"/>
              <w:rPr>
                <w:sz w:val="20"/>
                <w:szCs w:val="20"/>
                <w:color w:val="auto"/>
              </w:rPr>
            </w:pPr>
            <w:r>
              <w:rPr>
                <w:rFonts w:ascii="Arial" w:cs="Arial" w:eastAsia="Arial" w:hAnsi="Arial"/>
                <w:sz w:val="14"/>
                <w:szCs w:val="14"/>
                <w:color w:val="auto"/>
              </w:rPr>
              <w:t>Current portion of lease liability</w:t>
            </w:r>
          </w:p>
        </w:tc>
        <w:tc>
          <w:tcPr>
            <w:tcW w:w="2640" w:type="dxa"/>
            <w:vAlign w:val="bottom"/>
          </w:tcPr>
          <w:p>
            <w:pPr>
              <w:jc w:val="right"/>
              <w:ind w:right="248"/>
              <w:spacing w:after="0"/>
              <w:rPr>
                <w:sz w:val="20"/>
                <w:szCs w:val="20"/>
                <w:color w:val="auto"/>
              </w:rPr>
            </w:pPr>
            <w:r>
              <w:rPr>
                <w:rFonts w:ascii="Arial" w:cs="Arial" w:eastAsia="Arial" w:hAnsi="Arial"/>
                <w:sz w:val="14"/>
                <w:szCs w:val="14"/>
                <w:color w:val="auto"/>
              </w:rPr>
              <w:t>66,901</w:t>
            </w: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66,132</w:t>
            </w:r>
          </w:p>
        </w:tc>
      </w:tr>
      <w:tr>
        <w:trPr>
          <w:trHeight w:val="216"/>
        </w:trPr>
        <w:tc>
          <w:tcPr>
            <w:tcW w:w="5260" w:type="dxa"/>
            <w:vAlign w:val="bottom"/>
          </w:tcPr>
          <w:p>
            <w:pPr>
              <w:ind w:left="260"/>
              <w:spacing w:after="0"/>
              <w:rPr>
                <w:sz w:val="20"/>
                <w:szCs w:val="20"/>
                <w:color w:val="auto"/>
              </w:rPr>
            </w:pPr>
            <w:r>
              <w:rPr>
                <w:rFonts w:ascii="Arial" w:cs="Arial" w:eastAsia="Arial" w:hAnsi="Arial"/>
                <w:sz w:val="14"/>
                <w:szCs w:val="14"/>
                <w:color w:val="auto"/>
              </w:rPr>
              <w:t>Accounts payable</w:t>
            </w:r>
          </w:p>
        </w:tc>
        <w:tc>
          <w:tcPr>
            <w:tcW w:w="2640" w:type="dxa"/>
            <w:vAlign w:val="bottom"/>
          </w:tcPr>
          <w:p>
            <w:pPr>
              <w:jc w:val="right"/>
              <w:ind w:right="248"/>
              <w:spacing w:after="0"/>
              <w:rPr>
                <w:sz w:val="20"/>
                <w:szCs w:val="20"/>
                <w:color w:val="auto"/>
              </w:rPr>
            </w:pPr>
            <w:r>
              <w:rPr>
                <w:rFonts w:ascii="Arial" w:cs="Arial" w:eastAsia="Arial" w:hAnsi="Arial"/>
                <w:sz w:val="14"/>
                <w:szCs w:val="14"/>
                <w:color w:val="auto"/>
              </w:rPr>
              <w:t>210,249</w:t>
            </w: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164,320</w:t>
            </w:r>
          </w:p>
        </w:tc>
      </w:tr>
      <w:tr>
        <w:trPr>
          <w:trHeight w:val="216"/>
        </w:trPr>
        <w:tc>
          <w:tcPr>
            <w:tcW w:w="5260" w:type="dxa"/>
            <w:vAlign w:val="bottom"/>
          </w:tcPr>
          <w:p>
            <w:pPr>
              <w:ind w:left="260"/>
              <w:spacing w:after="0"/>
              <w:rPr>
                <w:sz w:val="20"/>
                <w:szCs w:val="20"/>
                <w:color w:val="auto"/>
              </w:rPr>
            </w:pPr>
            <w:r>
              <w:rPr>
                <w:rFonts w:ascii="Arial" w:cs="Arial" w:eastAsia="Arial" w:hAnsi="Arial"/>
                <w:sz w:val="14"/>
                <w:szCs w:val="14"/>
                <w:color w:val="auto"/>
              </w:rPr>
              <w:t>Accounts payable to related parties</w:t>
            </w:r>
          </w:p>
        </w:tc>
        <w:tc>
          <w:tcPr>
            <w:tcW w:w="2640" w:type="dxa"/>
            <w:vAlign w:val="bottom"/>
          </w:tcPr>
          <w:p>
            <w:pPr>
              <w:jc w:val="right"/>
              <w:ind w:right="248"/>
              <w:spacing w:after="0"/>
              <w:rPr>
                <w:sz w:val="20"/>
                <w:szCs w:val="20"/>
                <w:color w:val="auto"/>
              </w:rPr>
            </w:pPr>
            <w:r>
              <w:rPr>
                <w:rFonts w:ascii="Arial" w:cs="Arial" w:eastAsia="Arial" w:hAnsi="Arial"/>
                <w:sz w:val="14"/>
                <w:szCs w:val="14"/>
                <w:color w:val="auto"/>
              </w:rPr>
              <w:t>1,409</w:t>
            </w: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1,333</w:t>
            </w:r>
          </w:p>
        </w:tc>
      </w:tr>
      <w:tr>
        <w:trPr>
          <w:trHeight w:val="216"/>
        </w:trPr>
        <w:tc>
          <w:tcPr>
            <w:tcW w:w="5260" w:type="dxa"/>
            <w:vAlign w:val="bottom"/>
          </w:tcPr>
          <w:p>
            <w:pPr>
              <w:ind w:left="260"/>
              <w:spacing w:after="0"/>
              <w:rPr>
                <w:sz w:val="20"/>
                <w:szCs w:val="20"/>
                <w:color w:val="auto"/>
              </w:rPr>
            </w:pPr>
            <w:r>
              <w:rPr>
                <w:rFonts w:ascii="Arial" w:cs="Arial" w:eastAsia="Arial" w:hAnsi="Arial"/>
                <w:sz w:val="14"/>
                <w:szCs w:val="14"/>
                <w:color w:val="auto"/>
              </w:rPr>
              <w:t>Air traffic liability</w:t>
            </w:r>
          </w:p>
        </w:tc>
        <w:tc>
          <w:tcPr>
            <w:tcW w:w="2640" w:type="dxa"/>
            <w:vAlign w:val="bottom"/>
          </w:tcPr>
          <w:p>
            <w:pPr>
              <w:jc w:val="right"/>
              <w:ind w:right="248"/>
              <w:spacing w:after="0"/>
              <w:rPr>
                <w:sz w:val="20"/>
                <w:szCs w:val="20"/>
                <w:color w:val="auto"/>
              </w:rPr>
            </w:pPr>
            <w:r>
              <w:rPr>
                <w:rFonts w:ascii="Arial" w:cs="Arial" w:eastAsia="Arial" w:hAnsi="Arial"/>
                <w:sz w:val="14"/>
                <w:szCs w:val="14"/>
                <w:color w:val="auto"/>
              </w:rPr>
              <w:t>750,546</w:t>
            </w: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737,616</w:t>
            </w:r>
          </w:p>
        </w:tc>
      </w:tr>
      <w:tr>
        <w:trPr>
          <w:trHeight w:val="216"/>
        </w:trPr>
        <w:tc>
          <w:tcPr>
            <w:tcW w:w="5260" w:type="dxa"/>
            <w:vAlign w:val="bottom"/>
          </w:tcPr>
          <w:p>
            <w:pPr>
              <w:ind w:left="260"/>
              <w:spacing w:after="0"/>
              <w:rPr>
                <w:sz w:val="20"/>
                <w:szCs w:val="20"/>
                <w:color w:val="auto"/>
              </w:rPr>
            </w:pPr>
            <w:r>
              <w:rPr>
                <w:rFonts w:ascii="Arial" w:cs="Arial" w:eastAsia="Arial" w:hAnsi="Arial"/>
                <w:sz w:val="14"/>
                <w:szCs w:val="14"/>
                <w:color w:val="auto"/>
              </w:rPr>
              <w:t>Frequent flyer deferred revenue</w:t>
            </w:r>
          </w:p>
        </w:tc>
        <w:tc>
          <w:tcPr>
            <w:tcW w:w="2640" w:type="dxa"/>
            <w:vAlign w:val="bottom"/>
          </w:tcPr>
          <w:p>
            <w:pPr>
              <w:jc w:val="right"/>
              <w:ind w:right="248"/>
              <w:spacing w:after="0"/>
              <w:rPr>
                <w:sz w:val="20"/>
                <w:szCs w:val="20"/>
                <w:color w:val="auto"/>
              </w:rPr>
            </w:pPr>
            <w:r>
              <w:rPr>
                <w:rFonts w:ascii="Arial" w:cs="Arial" w:eastAsia="Arial" w:hAnsi="Arial"/>
                <w:sz w:val="14"/>
                <w:szCs w:val="14"/>
                <w:color w:val="auto"/>
              </w:rPr>
              <w:t>160,478</w:t>
            </w: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155,584</w:t>
            </w:r>
          </w:p>
        </w:tc>
      </w:tr>
      <w:tr>
        <w:trPr>
          <w:trHeight w:val="216"/>
        </w:trPr>
        <w:tc>
          <w:tcPr>
            <w:tcW w:w="5260" w:type="dxa"/>
            <w:vAlign w:val="bottom"/>
          </w:tcPr>
          <w:p>
            <w:pPr>
              <w:ind w:left="260"/>
              <w:spacing w:after="0"/>
              <w:rPr>
                <w:sz w:val="20"/>
                <w:szCs w:val="20"/>
                <w:color w:val="auto"/>
              </w:rPr>
            </w:pPr>
            <w:r>
              <w:rPr>
                <w:rFonts w:ascii="Arial" w:cs="Arial" w:eastAsia="Arial" w:hAnsi="Arial"/>
                <w:sz w:val="14"/>
                <w:szCs w:val="14"/>
                <w:color w:val="auto"/>
              </w:rPr>
              <w:t>Taxes Payable</w:t>
            </w:r>
          </w:p>
        </w:tc>
        <w:tc>
          <w:tcPr>
            <w:tcW w:w="2640" w:type="dxa"/>
            <w:vAlign w:val="bottom"/>
          </w:tcPr>
          <w:p>
            <w:pPr>
              <w:jc w:val="right"/>
              <w:ind w:right="248"/>
              <w:spacing w:after="0"/>
              <w:rPr>
                <w:sz w:val="20"/>
                <w:szCs w:val="20"/>
                <w:color w:val="auto"/>
              </w:rPr>
            </w:pPr>
            <w:r>
              <w:rPr>
                <w:rFonts w:ascii="Arial" w:cs="Arial" w:eastAsia="Arial" w:hAnsi="Arial"/>
                <w:sz w:val="14"/>
                <w:szCs w:val="14"/>
                <w:color w:val="auto"/>
              </w:rPr>
              <w:t>81,360</w:t>
            </w: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62,931</w:t>
            </w:r>
          </w:p>
        </w:tc>
      </w:tr>
      <w:tr>
        <w:trPr>
          <w:trHeight w:val="216"/>
        </w:trPr>
        <w:tc>
          <w:tcPr>
            <w:tcW w:w="5260" w:type="dxa"/>
            <w:vAlign w:val="bottom"/>
          </w:tcPr>
          <w:p>
            <w:pPr>
              <w:ind w:left="260"/>
              <w:spacing w:after="0"/>
              <w:rPr>
                <w:sz w:val="20"/>
                <w:szCs w:val="20"/>
                <w:color w:val="auto"/>
              </w:rPr>
            </w:pPr>
            <w:r>
              <w:rPr>
                <w:rFonts w:ascii="Arial" w:cs="Arial" w:eastAsia="Arial" w:hAnsi="Arial"/>
                <w:sz w:val="14"/>
                <w:szCs w:val="14"/>
                <w:color w:val="auto"/>
              </w:rPr>
              <w:t>Accrued expenses payable</w:t>
            </w:r>
          </w:p>
        </w:tc>
        <w:tc>
          <w:tcPr>
            <w:tcW w:w="2640" w:type="dxa"/>
            <w:vAlign w:val="bottom"/>
          </w:tcPr>
          <w:p>
            <w:pPr>
              <w:jc w:val="right"/>
              <w:ind w:right="248"/>
              <w:spacing w:after="0"/>
              <w:rPr>
                <w:sz w:val="20"/>
                <w:szCs w:val="20"/>
                <w:color w:val="auto"/>
              </w:rPr>
            </w:pPr>
            <w:r>
              <w:rPr>
                <w:rFonts w:ascii="Arial" w:cs="Arial" w:eastAsia="Arial" w:hAnsi="Arial"/>
                <w:sz w:val="14"/>
                <w:szCs w:val="14"/>
                <w:color w:val="auto"/>
              </w:rPr>
              <w:t>39,970</w:t>
            </w: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66,016</w:t>
            </w:r>
          </w:p>
        </w:tc>
      </w:tr>
      <w:tr>
        <w:trPr>
          <w:trHeight w:val="216"/>
        </w:trPr>
        <w:tc>
          <w:tcPr>
            <w:tcW w:w="5260" w:type="dxa"/>
            <w:vAlign w:val="bottom"/>
          </w:tcPr>
          <w:p>
            <w:pPr>
              <w:ind w:left="260"/>
              <w:spacing w:after="0"/>
              <w:rPr>
                <w:sz w:val="20"/>
                <w:szCs w:val="20"/>
                <w:color w:val="auto"/>
              </w:rPr>
            </w:pPr>
            <w:r>
              <w:rPr>
                <w:rFonts w:ascii="Arial" w:cs="Arial" w:eastAsia="Arial" w:hAnsi="Arial"/>
                <w:sz w:val="14"/>
                <w:szCs w:val="14"/>
                <w:color w:val="auto"/>
              </w:rPr>
              <w:t>Income tax payable</w:t>
            </w:r>
          </w:p>
        </w:tc>
        <w:tc>
          <w:tcPr>
            <w:tcW w:w="2640" w:type="dxa"/>
            <w:vAlign w:val="bottom"/>
          </w:tcPr>
          <w:p>
            <w:pPr>
              <w:jc w:val="right"/>
              <w:ind w:right="248"/>
              <w:spacing w:after="0"/>
              <w:rPr>
                <w:sz w:val="20"/>
                <w:szCs w:val="20"/>
                <w:color w:val="auto"/>
              </w:rPr>
            </w:pPr>
            <w:r>
              <w:rPr>
                <w:rFonts w:ascii="Arial" w:cs="Arial" w:eastAsia="Arial" w:hAnsi="Arial"/>
                <w:sz w:val="14"/>
                <w:szCs w:val="14"/>
                <w:color w:val="auto"/>
              </w:rPr>
              <w:t>27,122</w:t>
            </w: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11,929</w:t>
            </w:r>
          </w:p>
        </w:tc>
      </w:tr>
      <w:tr>
        <w:trPr>
          <w:trHeight w:val="220"/>
        </w:trPr>
        <w:tc>
          <w:tcPr>
            <w:tcW w:w="526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Other Current Liabilities</w:t>
            </w:r>
          </w:p>
        </w:tc>
        <w:tc>
          <w:tcPr>
            <w:tcW w:w="26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9,111</w:t>
            </w:r>
          </w:p>
        </w:tc>
        <w:tc>
          <w:tcPr>
            <w:tcW w:w="1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1,361</w:t>
            </w:r>
          </w:p>
        </w:tc>
      </w:tr>
      <w:tr>
        <w:trPr>
          <w:trHeight w:val="212"/>
        </w:trPr>
        <w:tc>
          <w:tcPr>
            <w:tcW w:w="5260" w:type="dxa"/>
            <w:vAlign w:val="bottom"/>
          </w:tcPr>
          <w:p>
            <w:pPr>
              <w:ind w:left="180"/>
              <w:spacing w:after="0"/>
              <w:rPr>
                <w:sz w:val="20"/>
                <w:szCs w:val="20"/>
                <w:color w:val="auto"/>
              </w:rPr>
            </w:pPr>
            <w:r>
              <w:rPr>
                <w:rFonts w:ascii="Arial" w:cs="Arial" w:eastAsia="Arial" w:hAnsi="Arial"/>
                <w:sz w:val="14"/>
                <w:szCs w:val="14"/>
                <w:b w:val="1"/>
                <w:bCs w:val="1"/>
                <w:color w:val="auto"/>
              </w:rPr>
              <w:t>TOTAL CURRENT LIABILITIES</w:t>
            </w:r>
          </w:p>
        </w:tc>
        <w:tc>
          <w:tcPr>
            <w:tcW w:w="2640" w:type="dxa"/>
            <w:vAlign w:val="bottom"/>
          </w:tcPr>
          <w:p>
            <w:pPr>
              <w:jc w:val="right"/>
              <w:ind w:right="248"/>
              <w:spacing w:after="0"/>
              <w:rPr>
                <w:sz w:val="20"/>
                <w:szCs w:val="20"/>
                <w:color w:val="auto"/>
              </w:rPr>
            </w:pPr>
            <w:r>
              <w:rPr>
                <w:rFonts w:ascii="Arial" w:cs="Arial" w:eastAsia="Arial" w:hAnsi="Arial"/>
                <w:sz w:val="14"/>
                <w:szCs w:val="14"/>
                <w:b w:val="1"/>
                <w:bCs w:val="1"/>
                <w:color w:val="auto"/>
              </w:rPr>
              <w:t>1,565,401</w:t>
            </w:r>
          </w:p>
        </w:tc>
        <w:tc>
          <w:tcPr>
            <w:tcW w:w="1780" w:type="dxa"/>
            <w:vAlign w:val="bottom"/>
          </w:tcPr>
          <w:p>
            <w:pPr>
              <w:jc w:val="right"/>
              <w:ind w:right="8"/>
              <w:spacing w:after="0"/>
              <w:rPr>
                <w:sz w:val="20"/>
                <w:szCs w:val="20"/>
                <w:color w:val="auto"/>
              </w:rPr>
            </w:pPr>
            <w:r>
              <w:rPr>
                <w:rFonts w:ascii="Arial" w:cs="Arial" w:eastAsia="Arial" w:hAnsi="Arial"/>
                <w:sz w:val="14"/>
                <w:szCs w:val="14"/>
                <w:b w:val="1"/>
                <w:bCs w:val="1"/>
                <w:color w:val="auto"/>
              </w:rPr>
              <w:t>1,440,107</w:t>
            </w:r>
          </w:p>
        </w:tc>
      </w:tr>
      <w:tr>
        <w:trPr>
          <w:trHeight w:val="304"/>
        </w:trPr>
        <w:tc>
          <w:tcPr>
            <w:tcW w:w="5260" w:type="dxa"/>
            <w:vAlign w:val="bottom"/>
          </w:tcPr>
          <w:p>
            <w:pPr>
              <w:ind w:left="260"/>
              <w:spacing w:after="0"/>
              <w:rPr>
                <w:sz w:val="20"/>
                <w:szCs w:val="20"/>
                <w:color w:val="auto"/>
              </w:rPr>
            </w:pPr>
            <w:r>
              <w:rPr>
                <w:rFonts w:ascii="Arial" w:cs="Arial" w:eastAsia="Arial" w:hAnsi="Arial"/>
                <w:sz w:val="14"/>
                <w:szCs w:val="14"/>
                <w:color w:val="auto"/>
              </w:rPr>
              <w:t>Loans and borrowings long-term</w:t>
            </w:r>
          </w:p>
        </w:tc>
        <w:tc>
          <w:tcPr>
            <w:tcW w:w="2640" w:type="dxa"/>
            <w:vAlign w:val="bottom"/>
          </w:tcPr>
          <w:p>
            <w:pPr>
              <w:jc w:val="right"/>
              <w:ind w:right="248"/>
              <w:spacing w:after="0"/>
              <w:rPr>
                <w:sz w:val="20"/>
                <w:szCs w:val="20"/>
                <w:color w:val="auto"/>
              </w:rPr>
            </w:pPr>
            <w:r>
              <w:rPr>
                <w:rFonts w:ascii="Arial" w:cs="Arial" w:eastAsia="Arial" w:hAnsi="Arial"/>
                <w:sz w:val="14"/>
                <w:szCs w:val="14"/>
                <w:color w:val="auto"/>
              </w:rPr>
              <w:t>1,890,520</w:t>
            </w: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1,807,556</w:t>
            </w:r>
          </w:p>
        </w:tc>
      </w:tr>
      <w:tr>
        <w:trPr>
          <w:trHeight w:val="216"/>
        </w:trPr>
        <w:tc>
          <w:tcPr>
            <w:tcW w:w="5260" w:type="dxa"/>
            <w:vAlign w:val="bottom"/>
          </w:tcPr>
          <w:p>
            <w:pPr>
              <w:ind w:left="260"/>
              <w:spacing w:after="0"/>
              <w:rPr>
                <w:sz w:val="20"/>
                <w:szCs w:val="20"/>
                <w:color w:val="auto"/>
              </w:rPr>
            </w:pPr>
            <w:r>
              <w:rPr>
                <w:rFonts w:ascii="Arial" w:cs="Arial" w:eastAsia="Arial" w:hAnsi="Arial"/>
                <w:sz w:val="14"/>
                <w:szCs w:val="14"/>
                <w:color w:val="auto"/>
              </w:rPr>
              <w:t>Lease Liability</w:t>
            </w:r>
          </w:p>
        </w:tc>
        <w:tc>
          <w:tcPr>
            <w:tcW w:w="2640" w:type="dxa"/>
            <w:vAlign w:val="bottom"/>
          </w:tcPr>
          <w:p>
            <w:pPr>
              <w:jc w:val="right"/>
              <w:ind w:right="248"/>
              <w:spacing w:after="0"/>
              <w:rPr>
                <w:sz w:val="20"/>
                <w:szCs w:val="20"/>
                <w:color w:val="auto"/>
              </w:rPr>
            </w:pPr>
            <w:r>
              <w:rPr>
                <w:rFonts w:ascii="Arial" w:cs="Arial" w:eastAsia="Arial" w:hAnsi="Arial"/>
                <w:sz w:val="14"/>
                <w:szCs w:val="14"/>
                <w:color w:val="auto"/>
              </w:rPr>
              <w:t>241,670</w:t>
            </w: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258,383</w:t>
            </w:r>
          </w:p>
        </w:tc>
      </w:tr>
      <w:tr>
        <w:trPr>
          <w:trHeight w:val="216"/>
        </w:trPr>
        <w:tc>
          <w:tcPr>
            <w:tcW w:w="5260" w:type="dxa"/>
            <w:vAlign w:val="bottom"/>
          </w:tcPr>
          <w:p>
            <w:pPr>
              <w:ind w:left="260"/>
              <w:spacing w:after="0"/>
              <w:rPr>
                <w:sz w:val="20"/>
                <w:szCs w:val="20"/>
                <w:color w:val="auto"/>
              </w:rPr>
            </w:pPr>
            <w:r>
              <w:rPr>
                <w:rFonts w:ascii="Arial" w:cs="Arial" w:eastAsia="Arial" w:hAnsi="Arial"/>
                <w:sz w:val="14"/>
                <w:szCs w:val="14"/>
                <w:color w:val="auto"/>
              </w:rPr>
              <w:t>Deferred tax Liabilities</w:t>
            </w:r>
          </w:p>
        </w:tc>
        <w:tc>
          <w:tcPr>
            <w:tcW w:w="2640" w:type="dxa"/>
            <w:vAlign w:val="bottom"/>
          </w:tcPr>
          <w:p>
            <w:pPr>
              <w:jc w:val="right"/>
              <w:ind w:right="248"/>
              <w:spacing w:after="0"/>
              <w:rPr>
                <w:sz w:val="20"/>
                <w:szCs w:val="20"/>
                <w:color w:val="auto"/>
              </w:rPr>
            </w:pPr>
            <w:r>
              <w:rPr>
                <w:rFonts w:ascii="Arial" w:cs="Arial" w:eastAsia="Arial" w:hAnsi="Arial"/>
                <w:sz w:val="14"/>
                <w:szCs w:val="14"/>
                <w:color w:val="auto"/>
              </w:rPr>
              <w:t>72,940</w:t>
            </w: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59,217</w:t>
            </w:r>
          </w:p>
        </w:tc>
      </w:tr>
      <w:tr>
        <w:trPr>
          <w:trHeight w:val="220"/>
        </w:trPr>
        <w:tc>
          <w:tcPr>
            <w:tcW w:w="526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Other long - term liabilities</w:t>
            </w:r>
          </w:p>
        </w:tc>
        <w:tc>
          <w:tcPr>
            <w:tcW w:w="26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250,445</w:t>
            </w:r>
          </w:p>
        </w:tc>
        <w:tc>
          <w:tcPr>
            <w:tcW w:w="1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242,337</w:t>
            </w:r>
          </w:p>
        </w:tc>
      </w:tr>
      <w:tr>
        <w:trPr>
          <w:trHeight w:val="213"/>
        </w:trPr>
        <w:tc>
          <w:tcPr>
            <w:tcW w:w="52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TOTAL NON-CURRENT LIABILITIES</w:t>
            </w:r>
          </w:p>
        </w:tc>
        <w:tc>
          <w:tcPr>
            <w:tcW w:w="26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2,455,575</w:t>
            </w:r>
          </w:p>
        </w:tc>
        <w:tc>
          <w:tcPr>
            <w:tcW w:w="1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2,367,494</w:t>
            </w:r>
          </w:p>
        </w:tc>
      </w:tr>
      <w:tr>
        <w:trPr>
          <w:trHeight w:val="209"/>
        </w:trPr>
        <w:tc>
          <w:tcPr>
            <w:tcW w:w="5260" w:type="dxa"/>
            <w:vAlign w:val="bottom"/>
          </w:tcPr>
          <w:p>
            <w:pPr>
              <w:ind w:left="100"/>
              <w:spacing w:after="0"/>
              <w:rPr>
                <w:sz w:val="20"/>
                <w:szCs w:val="20"/>
                <w:color w:val="auto"/>
              </w:rPr>
            </w:pPr>
            <w:r>
              <w:rPr>
                <w:rFonts w:ascii="Arial" w:cs="Arial" w:eastAsia="Arial" w:hAnsi="Arial"/>
                <w:sz w:val="14"/>
                <w:szCs w:val="14"/>
                <w:b w:val="1"/>
                <w:bCs w:val="1"/>
                <w:color w:val="auto"/>
              </w:rPr>
              <w:t>TOTAL LIABILITIES</w:t>
            </w:r>
          </w:p>
        </w:tc>
        <w:tc>
          <w:tcPr>
            <w:tcW w:w="2640" w:type="dxa"/>
            <w:vAlign w:val="bottom"/>
          </w:tcPr>
          <w:p>
            <w:pPr>
              <w:jc w:val="right"/>
              <w:ind w:right="248"/>
              <w:spacing w:after="0"/>
              <w:rPr>
                <w:sz w:val="20"/>
                <w:szCs w:val="20"/>
                <w:color w:val="auto"/>
              </w:rPr>
            </w:pPr>
            <w:r>
              <w:rPr>
                <w:rFonts w:ascii="Arial" w:cs="Arial" w:eastAsia="Arial" w:hAnsi="Arial"/>
                <w:sz w:val="14"/>
                <w:szCs w:val="14"/>
                <w:b w:val="1"/>
                <w:bCs w:val="1"/>
                <w:color w:val="auto"/>
              </w:rPr>
              <w:t>4,020,976</w:t>
            </w:r>
          </w:p>
        </w:tc>
        <w:tc>
          <w:tcPr>
            <w:tcW w:w="1780" w:type="dxa"/>
            <w:vAlign w:val="bottom"/>
          </w:tcPr>
          <w:p>
            <w:pPr>
              <w:jc w:val="right"/>
              <w:ind w:right="8"/>
              <w:spacing w:after="0"/>
              <w:rPr>
                <w:sz w:val="20"/>
                <w:szCs w:val="20"/>
                <w:color w:val="auto"/>
              </w:rPr>
            </w:pPr>
            <w:r>
              <w:rPr>
                <w:rFonts w:ascii="Arial" w:cs="Arial" w:eastAsia="Arial" w:hAnsi="Arial"/>
                <w:sz w:val="14"/>
                <w:szCs w:val="14"/>
                <w:b w:val="1"/>
                <w:bCs w:val="1"/>
                <w:color w:val="auto"/>
              </w:rPr>
              <w:t>3,807,600</w:t>
            </w:r>
          </w:p>
        </w:tc>
      </w:tr>
      <w:tr>
        <w:trPr>
          <w:trHeight w:val="216"/>
        </w:trPr>
        <w:tc>
          <w:tcPr>
            <w:tcW w:w="5260" w:type="dxa"/>
            <w:vAlign w:val="bottom"/>
          </w:tcPr>
          <w:p>
            <w:pPr>
              <w:jc w:val="center"/>
              <w:ind w:left="608"/>
              <w:spacing w:after="0"/>
              <w:rPr>
                <w:sz w:val="20"/>
                <w:szCs w:val="20"/>
                <w:color w:val="auto"/>
              </w:rPr>
            </w:pPr>
            <w:r>
              <w:rPr>
                <w:rFonts w:ascii="Arial" w:cs="Arial" w:eastAsia="Arial" w:hAnsi="Arial"/>
                <w:sz w:val="14"/>
                <w:szCs w:val="14"/>
                <w:b w:val="1"/>
                <w:bCs w:val="1"/>
                <w:color w:val="auto"/>
              </w:rPr>
              <w:t>EQUITY</w:t>
            </w:r>
          </w:p>
        </w:tc>
        <w:tc>
          <w:tcPr>
            <w:tcW w:w="264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0"/>
        </w:trPr>
        <w:tc>
          <w:tcPr>
            <w:tcW w:w="5260" w:type="dxa"/>
            <w:vAlign w:val="bottom"/>
          </w:tcPr>
          <w:p>
            <w:pPr>
              <w:ind w:left="260"/>
              <w:spacing w:after="0"/>
              <w:rPr>
                <w:sz w:val="20"/>
                <w:szCs w:val="20"/>
                <w:color w:val="auto"/>
              </w:rPr>
            </w:pPr>
            <w:r>
              <w:rPr>
                <w:rFonts w:ascii="Arial" w:cs="Arial" w:eastAsia="Arial" w:hAnsi="Arial"/>
                <w:sz w:val="14"/>
                <w:szCs w:val="14"/>
                <w:color w:val="auto"/>
              </w:rPr>
              <w:t>Class A - 34,257,137 issued and 29,861,335 outstanding</w:t>
            </w:r>
          </w:p>
        </w:tc>
        <w:tc>
          <w:tcPr>
            <w:tcW w:w="2640" w:type="dxa"/>
            <w:vAlign w:val="bottom"/>
          </w:tcPr>
          <w:p>
            <w:pPr>
              <w:jc w:val="right"/>
              <w:ind w:right="248"/>
              <w:spacing w:after="0"/>
              <w:rPr>
                <w:sz w:val="20"/>
                <w:szCs w:val="20"/>
                <w:color w:val="auto"/>
              </w:rPr>
            </w:pPr>
            <w:r>
              <w:rPr>
                <w:rFonts w:ascii="Arial" w:cs="Arial" w:eastAsia="Arial" w:hAnsi="Arial"/>
                <w:sz w:val="14"/>
                <w:szCs w:val="14"/>
                <w:color w:val="auto"/>
              </w:rPr>
              <w:t>23,316</w:t>
            </w: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23,290</w:t>
            </w:r>
          </w:p>
        </w:tc>
      </w:tr>
      <w:tr>
        <w:trPr>
          <w:trHeight w:val="216"/>
        </w:trPr>
        <w:tc>
          <w:tcPr>
            <w:tcW w:w="5260" w:type="dxa"/>
            <w:vAlign w:val="bottom"/>
          </w:tcPr>
          <w:p>
            <w:pPr>
              <w:ind w:left="260"/>
              <w:spacing w:after="0"/>
              <w:rPr>
                <w:sz w:val="20"/>
                <w:szCs w:val="20"/>
                <w:color w:val="auto"/>
              </w:rPr>
            </w:pPr>
            <w:r>
              <w:rPr>
                <w:rFonts w:ascii="Arial" w:cs="Arial" w:eastAsia="Arial" w:hAnsi="Arial"/>
                <w:sz w:val="14"/>
                <w:szCs w:val="14"/>
                <w:color w:val="auto"/>
              </w:rPr>
              <w:t>Class B - 10,938,125</w:t>
            </w:r>
          </w:p>
        </w:tc>
        <w:tc>
          <w:tcPr>
            <w:tcW w:w="2640" w:type="dxa"/>
            <w:vAlign w:val="bottom"/>
          </w:tcPr>
          <w:p>
            <w:pPr>
              <w:jc w:val="right"/>
              <w:ind w:right="248"/>
              <w:spacing w:after="0"/>
              <w:rPr>
                <w:sz w:val="20"/>
                <w:szCs w:val="20"/>
                <w:color w:val="auto"/>
              </w:rPr>
            </w:pPr>
            <w:r>
              <w:rPr>
                <w:rFonts w:ascii="Arial" w:cs="Arial" w:eastAsia="Arial" w:hAnsi="Arial"/>
                <w:sz w:val="14"/>
                <w:szCs w:val="14"/>
                <w:color w:val="auto"/>
              </w:rPr>
              <w:t>7,466</w:t>
            </w: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7,466</w:t>
            </w:r>
          </w:p>
        </w:tc>
      </w:tr>
      <w:tr>
        <w:trPr>
          <w:trHeight w:val="216"/>
        </w:trPr>
        <w:tc>
          <w:tcPr>
            <w:tcW w:w="5260" w:type="dxa"/>
            <w:vAlign w:val="bottom"/>
          </w:tcPr>
          <w:p>
            <w:pPr>
              <w:ind w:left="180"/>
              <w:spacing w:after="0"/>
              <w:rPr>
                <w:sz w:val="20"/>
                <w:szCs w:val="20"/>
                <w:color w:val="auto"/>
              </w:rPr>
            </w:pPr>
            <w:r>
              <w:rPr>
                <w:rFonts w:ascii="Arial" w:cs="Arial" w:eastAsia="Arial" w:hAnsi="Arial"/>
                <w:sz w:val="14"/>
                <w:szCs w:val="14"/>
                <w:color w:val="auto"/>
              </w:rPr>
              <w:t>Additional Paid-In Capital</w:t>
            </w:r>
          </w:p>
        </w:tc>
        <w:tc>
          <w:tcPr>
            <w:tcW w:w="2640" w:type="dxa"/>
            <w:vAlign w:val="bottom"/>
          </w:tcPr>
          <w:p>
            <w:pPr>
              <w:jc w:val="right"/>
              <w:ind w:right="248"/>
              <w:spacing w:after="0"/>
              <w:rPr>
                <w:sz w:val="20"/>
                <w:szCs w:val="20"/>
                <w:color w:val="auto"/>
              </w:rPr>
            </w:pPr>
            <w:r>
              <w:rPr>
                <w:rFonts w:ascii="Arial" w:cs="Arial" w:eastAsia="Arial" w:hAnsi="Arial"/>
                <w:sz w:val="14"/>
                <w:szCs w:val="14"/>
                <w:color w:val="auto"/>
              </w:rPr>
              <w:t>221,661</w:t>
            </w: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220,190</w:t>
            </w:r>
          </w:p>
        </w:tc>
      </w:tr>
      <w:tr>
        <w:trPr>
          <w:trHeight w:val="216"/>
        </w:trPr>
        <w:tc>
          <w:tcPr>
            <w:tcW w:w="5260" w:type="dxa"/>
            <w:vAlign w:val="bottom"/>
          </w:tcPr>
          <w:p>
            <w:pPr>
              <w:ind w:left="180"/>
              <w:spacing w:after="0"/>
              <w:rPr>
                <w:sz w:val="20"/>
                <w:szCs w:val="20"/>
                <w:color w:val="auto"/>
              </w:rPr>
            </w:pPr>
            <w:r>
              <w:rPr>
                <w:rFonts w:ascii="Arial" w:cs="Arial" w:eastAsia="Arial" w:hAnsi="Arial"/>
                <w:sz w:val="14"/>
                <w:szCs w:val="14"/>
                <w:color w:val="auto"/>
              </w:rPr>
              <w:t>Treasury Stock</w:t>
            </w:r>
          </w:p>
        </w:tc>
        <w:tc>
          <w:tcPr>
            <w:tcW w:w="2640" w:type="dxa"/>
            <w:vAlign w:val="bottom"/>
          </w:tcPr>
          <w:p>
            <w:pPr>
              <w:jc w:val="right"/>
              <w:ind w:right="208"/>
              <w:spacing w:after="0"/>
              <w:rPr>
                <w:sz w:val="20"/>
                <w:szCs w:val="20"/>
                <w:color w:val="auto"/>
              </w:rPr>
            </w:pPr>
            <w:r>
              <w:rPr>
                <w:rFonts w:ascii="Arial" w:cs="Arial" w:eastAsia="Arial" w:hAnsi="Arial"/>
                <w:sz w:val="14"/>
                <w:szCs w:val="14"/>
                <w:color w:val="auto"/>
              </w:rPr>
              <w:t>(345,147)</w:t>
            </w:r>
          </w:p>
        </w:tc>
        <w:tc>
          <w:tcPr>
            <w:tcW w:w="1780" w:type="dxa"/>
            <w:vAlign w:val="bottom"/>
          </w:tcPr>
          <w:p>
            <w:pPr>
              <w:jc w:val="right"/>
              <w:spacing w:after="0"/>
              <w:rPr>
                <w:sz w:val="20"/>
                <w:szCs w:val="20"/>
                <w:color w:val="auto"/>
              </w:rPr>
            </w:pPr>
            <w:r>
              <w:rPr>
                <w:rFonts w:ascii="Arial" w:cs="Arial" w:eastAsia="Arial" w:hAnsi="Arial"/>
                <w:sz w:val="14"/>
                <w:szCs w:val="14"/>
                <w:color w:val="auto"/>
              </w:rPr>
              <w:t>(300,143)</w:t>
            </w:r>
          </w:p>
        </w:tc>
      </w:tr>
      <w:tr>
        <w:trPr>
          <w:trHeight w:val="216"/>
        </w:trPr>
        <w:tc>
          <w:tcPr>
            <w:tcW w:w="5260" w:type="dxa"/>
            <w:vAlign w:val="bottom"/>
          </w:tcPr>
          <w:p>
            <w:pPr>
              <w:ind w:left="180"/>
              <w:spacing w:after="0"/>
              <w:rPr>
                <w:sz w:val="20"/>
                <w:szCs w:val="20"/>
                <w:color w:val="auto"/>
              </w:rPr>
            </w:pPr>
            <w:r>
              <w:rPr>
                <w:rFonts w:ascii="Arial" w:cs="Arial" w:eastAsia="Arial" w:hAnsi="Arial"/>
                <w:sz w:val="14"/>
                <w:szCs w:val="14"/>
                <w:color w:val="auto"/>
              </w:rPr>
              <w:t>Retained Earnings</w:t>
            </w:r>
          </w:p>
        </w:tc>
        <w:tc>
          <w:tcPr>
            <w:tcW w:w="2640" w:type="dxa"/>
            <w:vAlign w:val="bottom"/>
          </w:tcPr>
          <w:p>
            <w:pPr>
              <w:jc w:val="right"/>
              <w:ind w:right="248"/>
              <w:spacing w:after="0"/>
              <w:rPr>
                <w:sz w:val="20"/>
                <w:szCs w:val="20"/>
                <w:color w:val="auto"/>
              </w:rPr>
            </w:pPr>
            <w:r>
              <w:rPr>
                <w:rFonts w:ascii="Arial" w:cs="Arial" w:eastAsia="Arial" w:hAnsi="Arial"/>
                <w:sz w:val="14"/>
                <w:szCs w:val="14"/>
                <w:color w:val="auto"/>
              </w:rPr>
              <w:t>2,769,716</w:t>
            </w: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2,168,911</w:t>
            </w:r>
          </w:p>
        </w:tc>
      </w:tr>
      <w:tr>
        <w:trPr>
          <w:trHeight w:val="216"/>
        </w:trPr>
        <w:tc>
          <w:tcPr>
            <w:tcW w:w="5260" w:type="dxa"/>
            <w:vAlign w:val="bottom"/>
          </w:tcPr>
          <w:p>
            <w:pPr>
              <w:ind w:left="180"/>
              <w:spacing w:after="0"/>
              <w:rPr>
                <w:sz w:val="20"/>
                <w:szCs w:val="20"/>
                <w:color w:val="auto"/>
              </w:rPr>
            </w:pPr>
            <w:r>
              <w:rPr>
                <w:rFonts w:ascii="Arial" w:cs="Arial" w:eastAsia="Arial" w:hAnsi="Arial"/>
                <w:sz w:val="14"/>
                <w:szCs w:val="14"/>
                <w:color w:val="auto"/>
              </w:rPr>
              <w:t>Net profit</w:t>
            </w:r>
          </w:p>
        </w:tc>
        <w:tc>
          <w:tcPr>
            <w:tcW w:w="2640" w:type="dxa"/>
            <w:vAlign w:val="bottom"/>
          </w:tcPr>
          <w:p>
            <w:pPr>
              <w:jc w:val="right"/>
              <w:ind w:right="248"/>
              <w:spacing w:after="0"/>
              <w:rPr>
                <w:sz w:val="20"/>
                <w:szCs w:val="20"/>
                <w:color w:val="auto"/>
              </w:rPr>
            </w:pPr>
            <w:r>
              <w:rPr>
                <w:rFonts w:ascii="Arial" w:cs="Arial" w:eastAsia="Arial" w:hAnsi="Arial"/>
                <w:sz w:val="14"/>
                <w:szCs w:val="14"/>
                <w:color w:val="auto"/>
              </w:rPr>
              <w:t>212,467</w:t>
            </w: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671,648</w:t>
            </w:r>
          </w:p>
        </w:tc>
      </w:tr>
      <w:tr>
        <w:trPr>
          <w:trHeight w:val="220"/>
        </w:trPr>
        <w:tc>
          <w:tcPr>
            <w:tcW w:w="52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 comprehensive loss</w:t>
            </w:r>
          </w:p>
        </w:tc>
        <w:tc>
          <w:tcPr>
            <w:tcW w:w="26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(15,939)</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(15,939)</w:t>
            </w:r>
          </w:p>
        </w:tc>
      </w:tr>
      <w:tr>
        <w:trPr>
          <w:trHeight w:val="213"/>
        </w:trPr>
        <w:tc>
          <w:tcPr>
            <w:tcW w:w="52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TOTAL EQUITY</w:t>
            </w:r>
          </w:p>
        </w:tc>
        <w:tc>
          <w:tcPr>
            <w:tcW w:w="26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2,873,541</w:t>
            </w:r>
          </w:p>
        </w:tc>
        <w:tc>
          <w:tcPr>
            <w:tcW w:w="1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2,775,423</w:t>
            </w:r>
          </w:p>
        </w:tc>
      </w:tr>
      <w:tr>
        <w:trPr>
          <w:trHeight w:val="209"/>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EQUITY LIABILITIES</w:t>
            </w:r>
          </w:p>
        </w:tc>
        <w:tc>
          <w:tcPr>
            <w:tcW w:w="26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6,894,517</w:t>
            </w:r>
          </w:p>
        </w:tc>
        <w:tc>
          <w:tcPr>
            <w:tcW w:w="1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6,583,024</w:t>
            </w:r>
          </w:p>
        </w:tc>
      </w:tr>
      <w:tr>
        <w:trPr>
          <w:trHeight w:val="22"/>
        </w:trPr>
        <w:tc>
          <w:tcPr>
            <w:tcW w:w="526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920"/>
          </w:cols>
          <w:pgMar w:left="320" w:top="1440" w:right="65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5837555" cy="11061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5837555" cy="110617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Copa Holdings, S. A.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US$ thousands)</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7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ind w:right="528"/>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ind w:right="528"/>
              <w:spacing w:after="0"/>
              <w:rPr>
                <w:sz w:val="20"/>
                <w:szCs w:val="20"/>
                <w:color w:val="auto"/>
              </w:rPr>
            </w:pPr>
            <w:r>
              <w:rPr>
                <w:rFonts w:ascii="Arial" w:cs="Arial" w:eastAsia="Arial" w:hAnsi="Arial"/>
                <w:sz w:val="14"/>
                <w:szCs w:val="14"/>
                <w:b w:val="1"/>
                <w:bCs w:val="1"/>
                <w:color w:val="auto"/>
              </w:rPr>
              <w:t>2025</w:t>
            </w:r>
          </w:p>
        </w:tc>
      </w:tr>
      <w:tr>
        <w:trPr>
          <w:trHeight w:val="217"/>
        </w:trPr>
        <w:tc>
          <w:tcPr>
            <w:tcW w:w="7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8"/>
                <w:szCs w:val="18"/>
                <w:color w:val="auto"/>
              </w:rPr>
            </w:pPr>
          </w:p>
        </w:tc>
        <w:tc>
          <w:tcPr>
            <w:tcW w:w="1280" w:type="dxa"/>
            <w:vAlign w:val="bottom"/>
          </w:tcPr>
          <w:p>
            <w:pPr>
              <w:jc w:val="right"/>
              <w:ind w:right="288"/>
              <w:spacing w:after="0"/>
              <w:rPr>
                <w:sz w:val="20"/>
                <w:szCs w:val="20"/>
                <w:color w:val="auto"/>
              </w:rPr>
            </w:pPr>
            <w:r>
              <w:rPr>
                <w:rFonts w:ascii="Arial" w:cs="Arial" w:eastAsia="Arial" w:hAnsi="Arial"/>
                <w:sz w:val="14"/>
                <w:szCs w:val="14"/>
                <w:b w:val="1"/>
                <w:bCs w:val="1"/>
                <w:color w:val="auto"/>
              </w:rPr>
              <w:t>(Unaudited)</w:t>
            </w:r>
          </w:p>
        </w:tc>
      </w:tr>
      <w:tr>
        <w:trPr>
          <w:trHeight w:val="209"/>
        </w:trPr>
        <w:tc>
          <w:tcPr>
            <w:tcW w:w="7400" w:type="dxa"/>
            <w:vAlign w:val="bottom"/>
          </w:tcPr>
          <w:p>
            <w:pPr>
              <w:ind w:left="220"/>
              <w:spacing w:after="0"/>
              <w:rPr>
                <w:sz w:val="20"/>
                <w:szCs w:val="20"/>
                <w:color w:val="auto"/>
              </w:rPr>
            </w:pPr>
            <w:r>
              <w:rPr>
                <w:rFonts w:ascii="Arial" w:cs="Arial" w:eastAsia="Arial" w:hAnsi="Arial"/>
                <w:sz w:val="14"/>
                <w:szCs w:val="14"/>
                <w:b w:val="1"/>
                <w:bCs w:val="1"/>
                <w:color w:val="auto"/>
              </w:rPr>
              <w:t>Net cash flow from operating activities</w:t>
            </w: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359,710</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205,477</w:t>
            </w:r>
          </w:p>
        </w:tc>
      </w:tr>
      <w:tr>
        <w:trPr>
          <w:trHeight w:val="216"/>
        </w:trPr>
        <w:tc>
          <w:tcPr>
            <w:tcW w:w="7400" w:type="dxa"/>
            <w:vAlign w:val="bottom"/>
          </w:tcPr>
          <w:p>
            <w:pPr>
              <w:ind w:left="220"/>
              <w:spacing w:after="0"/>
              <w:rPr>
                <w:sz w:val="20"/>
                <w:szCs w:val="20"/>
                <w:color w:val="auto"/>
              </w:rPr>
            </w:pPr>
            <w:r>
              <w:rPr>
                <w:rFonts w:ascii="Arial" w:cs="Arial" w:eastAsia="Arial" w:hAnsi="Arial"/>
                <w:sz w:val="14"/>
                <w:szCs w:val="14"/>
                <w:b w:val="1"/>
                <w:bCs w:val="1"/>
                <w:color w:val="auto"/>
              </w:rPr>
              <w:t>Investing activities</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0"/>
        </w:trPr>
        <w:tc>
          <w:tcPr>
            <w:tcW w:w="7400" w:type="dxa"/>
            <w:vAlign w:val="bottom"/>
          </w:tcPr>
          <w:p>
            <w:pPr>
              <w:ind w:left="520"/>
              <w:spacing w:after="0"/>
              <w:rPr>
                <w:sz w:val="20"/>
                <w:szCs w:val="20"/>
                <w:color w:val="auto"/>
              </w:rPr>
            </w:pPr>
            <w:r>
              <w:rPr>
                <w:rFonts w:ascii="Arial" w:cs="Arial" w:eastAsia="Arial" w:hAnsi="Arial"/>
                <w:sz w:val="14"/>
                <w:szCs w:val="14"/>
                <w:color w:val="auto"/>
              </w:rPr>
              <w:t>Net Acquisition of Investments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54,498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(340,191)</w:t>
            </w:r>
          </w:p>
        </w:tc>
      </w:tr>
      <w:tr>
        <w:trPr>
          <w:trHeight w:val="216"/>
        </w:trPr>
        <w:tc>
          <w:tcPr>
            <w:tcW w:w="7400" w:type="dxa"/>
            <w:vAlign w:val="bottom"/>
          </w:tcPr>
          <w:p>
            <w:pPr>
              <w:ind w:left="520"/>
              <w:spacing w:after="0"/>
              <w:rPr>
                <w:sz w:val="20"/>
                <w:szCs w:val="20"/>
                <w:color w:val="auto"/>
              </w:rPr>
            </w:pPr>
            <w:r>
              <w:rPr>
                <w:rFonts w:ascii="Arial" w:cs="Arial" w:eastAsia="Arial" w:hAnsi="Arial"/>
                <w:sz w:val="14"/>
                <w:szCs w:val="14"/>
                <w:color w:val="auto"/>
              </w:rPr>
              <w:t>Net cash flow related to advance payments on aircraft purchase contracts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(245,026)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(115,130)</w:t>
            </w:r>
          </w:p>
        </w:tc>
      </w:tr>
      <w:tr>
        <w:trPr>
          <w:trHeight w:val="216"/>
        </w:trPr>
        <w:tc>
          <w:tcPr>
            <w:tcW w:w="7400" w:type="dxa"/>
            <w:vAlign w:val="bottom"/>
          </w:tcPr>
          <w:p>
            <w:pPr>
              <w:ind w:left="520"/>
              <w:spacing w:after="0"/>
              <w:rPr>
                <w:sz w:val="20"/>
                <w:szCs w:val="20"/>
                <w:color w:val="auto"/>
              </w:rPr>
            </w:pPr>
            <w:r>
              <w:rPr>
                <w:rFonts w:ascii="Arial" w:cs="Arial" w:eastAsia="Arial" w:hAnsi="Arial"/>
                <w:sz w:val="14"/>
                <w:szCs w:val="14"/>
                <w:color w:val="auto"/>
              </w:rPr>
              <w:t>Acquisition of property and equipment</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(163,486)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(56,216)</w:t>
            </w:r>
          </w:p>
        </w:tc>
      </w:tr>
      <w:tr>
        <w:trPr>
          <w:trHeight w:val="216"/>
        </w:trPr>
        <w:tc>
          <w:tcPr>
            <w:tcW w:w="7400" w:type="dxa"/>
            <w:vAlign w:val="bottom"/>
          </w:tcPr>
          <w:p>
            <w:pPr>
              <w:ind w:left="520"/>
              <w:spacing w:after="0"/>
              <w:rPr>
                <w:sz w:val="20"/>
                <w:szCs w:val="20"/>
                <w:color w:val="auto"/>
              </w:rPr>
            </w:pPr>
            <w:r>
              <w:rPr>
                <w:rFonts w:ascii="Arial" w:cs="Arial" w:eastAsia="Arial" w:hAnsi="Arial"/>
                <w:sz w:val="14"/>
                <w:szCs w:val="14"/>
                <w:color w:val="auto"/>
              </w:rPr>
              <w:t>Proceeds from sale of property and equipment</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0"/>
        </w:trPr>
        <w:tc>
          <w:tcPr>
            <w:tcW w:w="7400" w:type="dxa"/>
            <w:vAlign w:val="bottom"/>
          </w:tcPr>
          <w:p>
            <w:pPr>
              <w:ind w:left="520"/>
              <w:spacing w:after="0"/>
              <w:rPr>
                <w:sz w:val="20"/>
                <w:szCs w:val="20"/>
                <w:color w:val="auto"/>
              </w:rPr>
            </w:pPr>
            <w:r>
              <w:rPr>
                <w:rFonts w:ascii="Arial" w:cs="Arial" w:eastAsia="Arial" w:hAnsi="Arial"/>
                <w:sz w:val="14"/>
                <w:szCs w:val="14"/>
                <w:color w:val="auto"/>
              </w:rPr>
              <w:t>Acquisition of intangible assets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(5,559)</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(6,515)</w:t>
            </w:r>
          </w:p>
        </w:tc>
      </w:tr>
      <w:tr>
        <w:trPr>
          <w:trHeight w:val="211"/>
        </w:trPr>
        <w:tc>
          <w:tcPr>
            <w:tcW w:w="7400" w:type="dxa"/>
            <w:vAlign w:val="bottom"/>
          </w:tcPr>
          <w:p>
            <w:pPr>
              <w:ind w:left="2420"/>
              <w:spacing w:after="0"/>
              <w:rPr>
                <w:sz w:val="20"/>
                <w:szCs w:val="20"/>
                <w:color w:val="auto"/>
              </w:rPr>
            </w:pPr>
            <w:r>
              <w:rPr>
                <w:rFonts w:ascii="Arial" w:cs="Arial" w:eastAsia="Arial" w:hAnsi="Arial"/>
                <w:sz w:val="14"/>
                <w:szCs w:val="14"/>
                <w:b w:val="1"/>
                <w:bCs w:val="1"/>
                <w:color w:val="auto"/>
              </w:rPr>
              <w:t>Cash flow used in investing activities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(359,488)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(518,052)</w:t>
            </w:r>
          </w:p>
        </w:tc>
      </w:tr>
      <w:tr>
        <w:trPr>
          <w:trHeight w:val="216"/>
        </w:trPr>
        <w:tc>
          <w:tcPr>
            <w:tcW w:w="7400" w:type="dxa"/>
            <w:vAlign w:val="bottom"/>
          </w:tcPr>
          <w:p>
            <w:pPr>
              <w:ind w:left="220"/>
              <w:spacing w:after="0"/>
              <w:rPr>
                <w:sz w:val="20"/>
                <w:szCs w:val="20"/>
                <w:color w:val="auto"/>
              </w:rPr>
            </w:pPr>
            <w:r>
              <w:rPr>
                <w:rFonts w:ascii="Arial" w:cs="Arial" w:eastAsia="Arial" w:hAnsi="Arial"/>
                <w:sz w:val="14"/>
                <w:szCs w:val="14"/>
                <w:b w:val="1"/>
                <w:bCs w:val="1"/>
                <w:color w:val="auto"/>
              </w:rPr>
              <w:t>Financing activities</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0"/>
        </w:trPr>
        <w:tc>
          <w:tcPr>
            <w:tcW w:w="7400" w:type="dxa"/>
            <w:vAlign w:val="bottom"/>
          </w:tcPr>
          <w:p>
            <w:pPr>
              <w:ind w:left="520"/>
              <w:spacing w:after="0"/>
              <w:rPr>
                <w:sz w:val="20"/>
                <w:szCs w:val="20"/>
                <w:color w:val="auto"/>
              </w:rPr>
            </w:pPr>
            <w:r>
              <w:rPr>
                <w:rFonts w:ascii="Arial" w:cs="Arial" w:eastAsia="Arial" w:hAnsi="Arial"/>
                <w:sz w:val="14"/>
                <w:szCs w:val="14"/>
                <w:color w:val="auto"/>
              </w:rPr>
              <w:t>Proceeds from new borrowings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154,605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7400" w:type="dxa"/>
            <w:vAlign w:val="bottom"/>
          </w:tcPr>
          <w:p>
            <w:pPr>
              <w:ind w:left="520"/>
              <w:spacing w:after="0"/>
              <w:rPr>
                <w:sz w:val="20"/>
                <w:szCs w:val="20"/>
                <w:color w:val="auto"/>
              </w:rPr>
            </w:pPr>
            <w:r>
              <w:rPr>
                <w:rFonts w:ascii="Arial" w:cs="Arial" w:eastAsia="Arial" w:hAnsi="Arial"/>
                <w:sz w:val="14"/>
                <w:szCs w:val="14"/>
                <w:color w:val="auto"/>
              </w:rPr>
              <w:t>Payments on loans and borrowings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(31,543)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(51,863)</w:t>
            </w:r>
          </w:p>
        </w:tc>
      </w:tr>
      <w:tr>
        <w:trPr>
          <w:trHeight w:val="216"/>
        </w:trPr>
        <w:tc>
          <w:tcPr>
            <w:tcW w:w="7400" w:type="dxa"/>
            <w:vAlign w:val="bottom"/>
          </w:tcPr>
          <w:p>
            <w:pPr>
              <w:ind w:left="520"/>
              <w:spacing w:after="0"/>
              <w:rPr>
                <w:sz w:val="20"/>
                <w:szCs w:val="20"/>
                <w:color w:val="auto"/>
              </w:rPr>
            </w:pPr>
            <w:r>
              <w:rPr>
                <w:rFonts w:ascii="Arial" w:cs="Arial" w:eastAsia="Arial" w:hAnsi="Arial"/>
                <w:sz w:val="14"/>
                <w:szCs w:val="14"/>
                <w:color w:val="auto"/>
              </w:rPr>
              <w:t>Payment of lease liability</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(16,033)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(14,007)</w:t>
            </w:r>
          </w:p>
        </w:tc>
      </w:tr>
      <w:tr>
        <w:trPr>
          <w:trHeight w:val="216"/>
        </w:trPr>
        <w:tc>
          <w:tcPr>
            <w:tcW w:w="7400" w:type="dxa"/>
            <w:vAlign w:val="bottom"/>
          </w:tcPr>
          <w:p>
            <w:pPr>
              <w:ind w:left="520"/>
              <w:spacing w:after="0"/>
              <w:rPr>
                <w:sz w:val="20"/>
                <w:szCs w:val="20"/>
                <w:color w:val="auto"/>
              </w:rPr>
            </w:pPr>
            <w:r>
              <w:rPr>
                <w:rFonts w:ascii="Arial" w:cs="Arial" w:eastAsia="Arial" w:hAnsi="Arial"/>
                <w:sz w:val="14"/>
                <w:szCs w:val="14"/>
                <w:color w:val="auto"/>
              </w:rPr>
              <w:t>Share repurchase</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(45,004)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(3,555)</w:t>
            </w:r>
          </w:p>
        </w:tc>
      </w:tr>
      <w:tr>
        <w:trPr>
          <w:trHeight w:val="220"/>
        </w:trPr>
        <w:tc>
          <w:tcPr>
            <w:tcW w:w="7400" w:type="dxa"/>
            <w:vAlign w:val="bottom"/>
          </w:tcPr>
          <w:p>
            <w:pPr>
              <w:ind w:left="520"/>
              <w:spacing w:after="0"/>
              <w:rPr>
                <w:sz w:val="20"/>
                <w:szCs w:val="20"/>
                <w:color w:val="auto"/>
              </w:rPr>
            </w:pPr>
            <w:r>
              <w:rPr>
                <w:rFonts w:ascii="Arial" w:cs="Arial" w:eastAsia="Arial" w:hAnsi="Arial"/>
                <w:sz w:val="14"/>
                <w:szCs w:val="14"/>
                <w:color w:val="auto"/>
              </w:rPr>
              <w:t>Dividends paid</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(70,578)</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(66,493)</w:t>
            </w:r>
          </w:p>
        </w:tc>
      </w:tr>
      <w:tr>
        <w:trPr>
          <w:trHeight w:val="212"/>
        </w:trPr>
        <w:tc>
          <w:tcPr>
            <w:tcW w:w="7400" w:type="dxa"/>
            <w:vAlign w:val="bottom"/>
          </w:tcPr>
          <w:p>
            <w:pPr>
              <w:ind w:left="2420"/>
              <w:spacing w:after="0"/>
              <w:rPr>
                <w:sz w:val="20"/>
                <w:szCs w:val="20"/>
                <w:color w:val="auto"/>
              </w:rPr>
            </w:pPr>
            <w:r>
              <w:rPr>
                <w:rFonts w:ascii="Arial" w:cs="Arial" w:eastAsia="Arial" w:hAnsi="Arial"/>
                <w:sz w:val="14"/>
                <w:szCs w:val="14"/>
                <w:b w:val="1"/>
                <w:bCs w:val="1"/>
                <w:color w:val="auto"/>
              </w:rPr>
              <w:t>Cash flow used in financing activities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(8,553)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(135,918)</w:t>
            </w:r>
          </w:p>
        </w:tc>
      </w:tr>
      <w:tr>
        <w:trPr>
          <w:trHeight w:val="217"/>
        </w:trPr>
        <w:tc>
          <w:tcPr>
            <w:tcW w:w="7400" w:type="dxa"/>
            <w:vAlign w:val="bottom"/>
          </w:tcPr>
          <w:p>
            <w:pPr>
              <w:spacing w:after="0"/>
              <w:rPr>
                <w:sz w:val="20"/>
                <w:szCs w:val="20"/>
                <w:color w:val="auto"/>
              </w:rPr>
            </w:pPr>
            <w:r>
              <w:rPr>
                <w:rFonts w:ascii="Arial" w:cs="Arial" w:eastAsia="Arial" w:hAnsi="Arial"/>
                <w:sz w:val="14"/>
                <w:szCs w:val="14"/>
                <w:b w:val="1"/>
                <w:bCs w:val="1"/>
                <w:color w:val="auto"/>
              </w:rPr>
              <w:t>Net (decrease) in cash and cash equivalents</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(8,331)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(448,493)</w:t>
            </w:r>
          </w:p>
        </w:tc>
      </w:tr>
      <w:tr>
        <w:trPr>
          <w:trHeight w:val="207"/>
        </w:trPr>
        <w:tc>
          <w:tcPr>
            <w:tcW w:w="7400" w:type="dxa"/>
            <w:vAlign w:val="bottom"/>
          </w:tcPr>
          <w:p>
            <w:pPr>
              <w:ind w:left="80"/>
              <w:spacing w:after="0"/>
              <w:rPr>
                <w:sz w:val="20"/>
                <w:szCs w:val="20"/>
                <w:color w:val="auto"/>
              </w:rPr>
            </w:pPr>
            <w:r>
              <w:rPr>
                <w:rFonts w:ascii="Arial" w:cs="Arial" w:eastAsia="Arial" w:hAnsi="Arial"/>
                <w:sz w:val="14"/>
                <w:szCs w:val="14"/>
                <w:color w:val="auto"/>
              </w:rPr>
              <w:t>Cash and cash equivalents as of January 1</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382,554</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613,313</w:t>
            </w:r>
          </w:p>
        </w:tc>
      </w:tr>
      <w:tr>
        <w:trPr>
          <w:trHeight w:val="214"/>
        </w:trPr>
        <w:tc>
          <w:tcPr>
            <w:tcW w:w="7400" w:type="dxa"/>
            <w:vAlign w:val="bottom"/>
          </w:tcPr>
          <w:p>
            <w:pPr>
              <w:spacing w:after="0"/>
              <w:rPr>
                <w:sz w:val="20"/>
                <w:szCs w:val="20"/>
                <w:color w:val="auto"/>
              </w:rPr>
            </w:pPr>
            <w:r>
              <w:rPr>
                <w:rFonts w:ascii="Arial" w:cs="Arial" w:eastAsia="Arial" w:hAnsi="Arial"/>
                <w:sz w:val="14"/>
                <w:szCs w:val="14"/>
                <w:b w:val="1"/>
                <w:bCs w:val="1"/>
                <w:color w:val="auto"/>
              </w:rPr>
              <w:t>Cash and cash equivalents as of March 31,</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374,223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164,820</w:t>
            </w:r>
          </w:p>
        </w:tc>
      </w:tr>
      <w:tr>
        <w:trPr>
          <w:trHeight w:val="20"/>
        </w:trPr>
        <w:tc>
          <w:tcPr>
            <w:tcW w:w="7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444"/>
        </w:trPr>
        <w:tc>
          <w:tcPr>
            <w:tcW w:w="7400" w:type="dxa"/>
            <w:vAlign w:val="bottom"/>
          </w:tcPr>
          <w:p>
            <w:pPr>
              <w:ind w:left="80"/>
              <w:spacing w:after="0"/>
              <w:rPr>
                <w:sz w:val="20"/>
                <w:szCs w:val="20"/>
                <w:color w:val="auto"/>
              </w:rPr>
            </w:pPr>
            <w:r>
              <w:rPr>
                <w:rFonts w:ascii="Arial" w:cs="Arial" w:eastAsia="Arial" w:hAnsi="Arial"/>
                <w:sz w:val="14"/>
                <w:szCs w:val="14"/>
                <w:color w:val="auto"/>
              </w:rPr>
              <w:t>Short-term investments</w:t>
            </w:r>
          </w:p>
        </w:tc>
        <w:tc>
          <w:tcPr>
            <w:tcW w:w="2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959,457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751,525</w:t>
            </w:r>
          </w:p>
        </w:tc>
      </w:tr>
      <w:tr>
        <w:trPr>
          <w:trHeight w:val="220"/>
        </w:trPr>
        <w:tc>
          <w:tcPr>
            <w:tcW w:w="7400" w:type="dxa"/>
            <w:vAlign w:val="bottom"/>
          </w:tcPr>
          <w:p>
            <w:pPr>
              <w:ind w:left="80"/>
              <w:spacing w:after="0"/>
              <w:rPr>
                <w:sz w:val="20"/>
                <w:szCs w:val="20"/>
                <w:color w:val="auto"/>
              </w:rPr>
            </w:pPr>
            <w:r>
              <w:rPr>
                <w:rFonts w:ascii="Arial" w:cs="Arial" w:eastAsia="Arial" w:hAnsi="Arial"/>
                <w:sz w:val="14"/>
                <w:szCs w:val="14"/>
                <w:color w:val="auto"/>
              </w:rPr>
              <w:t>Long-term investments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190,157</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425,821</w:t>
            </w:r>
          </w:p>
        </w:tc>
      </w:tr>
      <w:tr>
        <w:trPr>
          <w:trHeight w:val="214"/>
        </w:trPr>
        <w:tc>
          <w:tcPr>
            <w:tcW w:w="7400" w:type="dxa"/>
            <w:vAlign w:val="bottom"/>
          </w:tcPr>
          <w:p>
            <w:pPr>
              <w:spacing w:after="0"/>
              <w:rPr>
                <w:sz w:val="20"/>
                <w:szCs w:val="20"/>
                <w:color w:val="auto"/>
              </w:rPr>
            </w:pPr>
            <w:r>
              <w:rPr>
                <w:rFonts w:ascii="Arial" w:cs="Arial" w:eastAsia="Arial" w:hAnsi="Arial"/>
                <w:sz w:val="14"/>
                <w:szCs w:val="14"/>
                <w:b w:val="1"/>
                <w:bCs w:val="1"/>
                <w:color w:val="auto"/>
              </w:rPr>
              <w:t>Total cash and cash equivalents and investments as of March 31,</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1,523,837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1,342,166</w:t>
            </w:r>
          </w:p>
        </w:tc>
      </w:tr>
      <w:tr>
        <w:trPr>
          <w:trHeight w:val="20"/>
        </w:trPr>
        <w:tc>
          <w:tcPr>
            <w:tcW w:w="7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920"/>
          </w:cols>
          <w:pgMar w:left="320" w:top="1440" w:right="65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5837555" cy="11061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5837555" cy="110617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Copa Holdings, S. A.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Non-IFRS Financial Measures Reconciliation</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This press release includes the following non-IFRS financial measures: Operating CASM Excluding Fuel and Adjusted Net Debt to EBITDA. This supplemental information is presented because we believe it is a useful indicator of our operating performance and for comparing our performance with other companies in the airline industry. These measures should not be considered in isolation and should be considered together with comparable IFRS measures, in particular operating profit, and net profit. The following is a reconciliation of these non-IFRS financial measures to the comparable IFRS measures:</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4880" w:type="dxa"/>
            <w:vAlign w:val="bottom"/>
          </w:tcPr>
          <w:p>
            <w:pPr>
              <w:spacing w:after="0"/>
              <w:rPr>
                <w:sz w:val="20"/>
                <w:szCs w:val="20"/>
                <w:color w:val="auto"/>
              </w:rPr>
            </w:pPr>
            <w:r>
              <w:rPr>
                <w:rFonts w:ascii="Arial" w:cs="Arial" w:eastAsia="Arial" w:hAnsi="Arial"/>
                <w:sz w:val="14"/>
                <w:szCs w:val="14"/>
                <w:b w:val="1"/>
                <w:bCs w:val="1"/>
                <w:color w:val="auto"/>
              </w:rPr>
              <w:t>Reconciliation of Operating Costs per ASM</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7"/>
        </w:trPr>
        <w:tc>
          <w:tcPr>
            <w:tcW w:w="4880" w:type="dxa"/>
            <w:vAlign w:val="bottom"/>
          </w:tcPr>
          <w:p>
            <w:pPr>
              <w:spacing w:after="0"/>
              <w:rPr>
                <w:sz w:val="20"/>
                <w:szCs w:val="20"/>
                <w:color w:val="auto"/>
              </w:rPr>
            </w:pPr>
            <w:r>
              <w:rPr>
                <w:rFonts w:ascii="Arial" w:cs="Arial" w:eastAsia="Arial" w:hAnsi="Arial"/>
                <w:sz w:val="14"/>
                <w:szCs w:val="14"/>
                <w:b w:val="1"/>
                <w:bCs w:val="1"/>
                <w:color w:val="auto"/>
              </w:rPr>
              <w:t>Excluding Fuel (CASM Excl. Fuel)</w:t>
            </w:r>
          </w:p>
        </w:tc>
        <w:tc>
          <w:tcPr>
            <w:tcW w:w="1280" w:type="dxa"/>
            <w:vAlign w:val="bottom"/>
            <w:gridSpan w:val="2"/>
          </w:tcPr>
          <w:p>
            <w:pPr>
              <w:ind w:left="420"/>
              <w:spacing w:after="0"/>
              <w:rPr>
                <w:sz w:val="20"/>
                <w:szCs w:val="20"/>
                <w:color w:val="auto"/>
              </w:rPr>
            </w:pPr>
            <w:r>
              <w:rPr>
                <w:rFonts w:ascii="Arial" w:cs="Arial" w:eastAsia="Arial" w:hAnsi="Arial"/>
                <w:sz w:val="14"/>
                <w:szCs w:val="14"/>
                <w:b w:val="1"/>
                <w:bCs w:val="1"/>
                <w:color w:val="auto"/>
              </w:rPr>
              <w:t>1Q26</w:t>
            </w:r>
          </w:p>
        </w:tc>
        <w:tc>
          <w:tcPr>
            <w:tcW w:w="1220" w:type="dxa"/>
            <w:vAlign w:val="bottom"/>
            <w:gridSpan w:val="2"/>
          </w:tcPr>
          <w:p>
            <w:pPr>
              <w:ind w:left="380"/>
              <w:spacing w:after="0"/>
              <w:rPr>
                <w:sz w:val="20"/>
                <w:szCs w:val="20"/>
                <w:color w:val="auto"/>
              </w:rPr>
            </w:pPr>
            <w:r>
              <w:rPr>
                <w:rFonts w:ascii="Arial" w:cs="Arial" w:eastAsia="Arial" w:hAnsi="Arial"/>
                <w:sz w:val="14"/>
                <w:szCs w:val="14"/>
                <w:b w:val="1"/>
                <w:bCs w:val="1"/>
                <w:color w:val="auto"/>
              </w:rPr>
              <w:t>1Q25</w:t>
            </w:r>
          </w:p>
        </w:tc>
        <w:tc>
          <w:tcPr>
            <w:tcW w:w="1140" w:type="dxa"/>
            <w:vAlign w:val="bottom"/>
          </w:tcPr>
          <w:p>
            <w:pPr>
              <w:jc w:val="right"/>
              <w:ind w:right="328"/>
              <w:spacing w:after="0"/>
              <w:rPr>
                <w:sz w:val="20"/>
                <w:szCs w:val="20"/>
                <w:color w:val="auto"/>
              </w:rPr>
            </w:pPr>
            <w:r>
              <w:rPr>
                <w:rFonts w:ascii="Arial" w:cs="Arial" w:eastAsia="Arial" w:hAnsi="Arial"/>
                <w:sz w:val="14"/>
                <w:szCs w:val="14"/>
                <w:b w:val="1"/>
                <w:bCs w:val="1"/>
                <w:color w:val="auto"/>
              </w:rPr>
              <w:t>4Q25</w:t>
            </w:r>
          </w:p>
        </w:tc>
      </w:tr>
      <w:tr>
        <w:trPr>
          <w:trHeight w:val="459"/>
        </w:trPr>
        <w:tc>
          <w:tcPr>
            <w:tcW w:w="4880" w:type="dxa"/>
            <w:vAlign w:val="bottom"/>
          </w:tcPr>
          <w:p>
            <w:pPr>
              <w:ind w:left="120"/>
              <w:spacing w:after="0"/>
              <w:rPr>
                <w:sz w:val="20"/>
                <w:szCs w:val="20"/>
                <w:color w:val="auto"/>
              </w:rPr>
            </w:pPr>
            <w:r>
              <w:rPr>
                <w:rFonts w:ascii="Arial" w:cs="Arial" w:eastAsia="Arial" w:hAnsi="Arial"/>
                <w:sz w:val="14"/>
                <w:szCs w:val="14"/>
                <w:color w:val="auto"/>
              </w:rPr>
              <w:t>Operating Costs per ASM as Reported (in US$ Cents)</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4"/>
                <w:szCs w:val="24"/>
                <w:color w:val="auto"/>
              </w:rPr>
            </w:pPr>
          </w:p>
        </w:tc>
        <w:tc>
          <w:tcPr>
            <w:tcW w:w="11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8.8</w:t>
            </w:r>
          </w:p>
        </w:tc>
        <w:tc>
          <w:tcPr>
            <w:tcW w:w="80" w:type="dxa"/>
            <w:vAlign w:val="bottom"/>
          </w:tcPr>
          <w:p>
            <w:pPr>
              <w:spacing w:after="0"/>
              <w:rPr>
                <w:sz w:val="24"/>
                <w:szCs w:val="2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w:t>
            </w:r>
          </w:p>
        </w:tc>
      </w:tr>
      <w:tr>
        <w:trPr>
          <w:trHeight w:val="220"/>
        </w:trPr>
        <w:tc>
          <w:tcPr>
            <w:tcW w:w="4880" w:type="dxa"/>
            <w:vAlign w:val="bottom"/>
          </w:tcPr>
          <w:p>
            <w:pPr>
              <w:ind w:left="120"/>
              <w:spacing w:after="0"/>
              <w:rPr>
                <w:sz w:val="20"/>
                <w:szCs w:val="20"/>
                <w:color w:val="auto"/>
              </w:rPr>
            </w:pPr>
            <w:r>
              <w:rPr>
                <w:rFonts w:ascii="Arial" w:cs="Arial" w:eastAsia="Arial" w:hAnsi="Arial"/>
                <w:sz w:val="14"/>
                <w:szCs w:val="14"/>
                <w:color w:val="auto"/>
              </w:rPr>
              <w:t>Aircraft Fuel Cost per ASM (in US$ Cents)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r>
      <w:tr>
        <w:trPr>
          <w:trHeight w:val="213"/>
        </w:trPr>
        <w:tc>
          <w:tcPr>
            <w:tcW w:w="4880" w:type="dxa"/>
            <w:vAlign w:val="bottom"/>
          </w:tcPr>
          <w:p>
            <w:pPr>
              <w:spacing w:after="0"/>
              <w:rPr>
                <w:sz w:val="20"/>
                <w:szCs w:val="20"/>
                <w:color w:val="auto"/>
              </w:rPr>
            </w:pPr>
            <w:r>
              <w:rPr>
                <w:rFonts w:ascii="Arial" w:cs="Arial" w:eastAsia="Arial" w:hAnsi="Arial"/>
                <w:sz w:val="14"/>
                <w:szCs w:val="14"/>
                <w:b w:val="1"/>
                <w:bCs w:val="1"/>
                <w:color w:val="auto"/>
              </w:rPr>
              <w:t>Operating Costs per ASM excluding fuel (in US$ Cents)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5.8</w:t>
            </w:r>
          </w:p>
        </w:tc>
        <w:tc>
          <w:tcPr>
            <w:tcW w:w="8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5.9</w:t>
            </w:r>
          </w:p>
        </w:tc>
      </w:tr>
      <w:tr>
        <w:trPr>
          <w:trHeight w:val="21"/>
        </w:trPr>
        <w:tc>
          <w:tcPr>
            <w:tcW w:w="48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4820" w:type="dxa"/>
            <w:vAlign w:val="bottom"/>
          </w:tcPr>
          <w:p>
            <w:pPr>
              <w:spacing w:after="0"/>
              <w:rPr>
                <w:sz w:val="20"/>
                <w:szCs w:val="20"/>
                <w:color w:val="auto"/>
              </w:rPr>
            </w:pPr>
            <w:r>
              <w:rPr>
                <w:rFonts w:ascii="Arial" w:cs="Arial" w:eastAsia="Arial" w:hAnsi="Arial"/>
                <w:sz w:val="14"/>
                <w:szCs w:val="14"/>
                <w:b w:val="1"/>
                <w:bCs w:val="1"/>
                <w:color w:val="auto"/>
              </w:rPr>
              <w:t>Reconciliation of Adjusted Net Debt to EBITDA</w:t>
            </w:r>
          </w:p>
        </w:tc>
        <w:tc>
          <w:tcPr>
            <w:tcW w:w="260" w:type="dxa"/>
            <w:vAlign w:val="bottom"/>
          </w:tcPr>
          <w:p>
            <w:pPr>
              <w:spacing w:after="0"/>
              <w:rPr>
                <w:sz w:val="17"/>
                <w:szCs w:val="17"/>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1Q26</w:t>
            </w:r>
          </w:p>
        </w:tc>
        <w:tc>
          <w:tcPr>
            <w:tcW w:w="260" w:type="dxa"/>
            <w:vAlign w:val="bottom"/>
          </w:tcPr>
          <w:p>
            <w:pPr>
              <w:spacing w:after="0"/>
              <w:rPr>
                <w:sz w:val="17"/>
                <w:szCs w:val="17"/>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1Q25</w:t>
            </w:r>
          </w:p>
        </w:tc>
        <w:tc>
          <w:tcPr>
            <w:tcW w:w="260" w:type="dxa"/>
            <w:vAlign w:val="bottom"/>
          </w:tcPr>
          <w:p>
            <w:pPr>
              <w:spacing w:after="0"/>
              <w:rPr>
                <w:sz w:val="17"/>
                <w:szCs w:val="17"/>
                <w:color w:val="auto"/>
              </w:rPr>
            </w:pPr>
          </w:p>
        </w:tc>
        <w:tc>
          <w:tcPr>
            <w:tcW w:w="960" w:type="dxa"/>
            <w:vAlign w:val="bottom"/>
          </w:tcPr>
          <w:p>
            <w:pPr>
              <w:jc w:val="right"/>
              <w:ind w:right="368"/>
              <w:spacing w:after="0"/>
              <w:rPr>
                <w:sz w:val="20"/>
                <w:szCs w:val="20"/>
                <w:color w:val="auto"/>
              </w:rPr>
            </w:pPr>
            <w:r>
              <w:rPr>
                <w:rFonts w:ascii="Arial" w:cs="Arial" w:eastAsia="Arial" w:hAnsi="Arial"/>
                <w:sz w:val="14"/>
                <w:szCs w:val="14"/>
                <w:b w:val="1"/>
                <w:bCs w:val="1"/>
                <w:color w:val="auto"/>
              </w:rPr>
              <w:t>4Q25</w:t>
            </w:r>
          </w:p>
        </w:tc>
      </w:tr>
      <w:tr>
        <w:trPr>
          <w:trHeight w:val="459"/>
        </w:trPr>
        <w:tc>
          <w:tcPr>
            <w:tcW w:w="4820" w:type="dxa"/>
            <w:vAlign w:val="bottom"/>
          </w:tcPr>
          <w:p>
            <w:pPr>
              <w:spacing w:after="0"/>
              <w:rPr>
                <w:sz w:val="20"/>
                <w:szCs w:val="20"/>
                <w:color w:val="auto"/>
              </w:rPr>
            </w:pPr>
            <w:r>
              <w:rPr>
                <w:rFonts w:ascii="Arial" w:cs="Arial" w:eastAsia="Arial" w:hAnsi="Arial"/>
                <w:sz w:val="14"/>
                <w:szCs w:val="14"/>
                <w:color w:val="auto"/>
              </w:rPr>
              <w:t>Net Debt</w:t>
            </w: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893,509</w:t>
            </w:r>
          </w:p>
        </w:tc>
        <w:tc>
          <w:tcPr>
            <w:tcW w:w="100" w:type="dxa"/>
            <w:vAlign w:val="bottom"/>
          </w:tcPr>
          <w:p>
            <w:pPr>
              <w:spacing w:after="0"/>
              <w:rPr>
                <w:sz w:val="24"/>
                <w:szCs w:val="24"/>
                <w:color w:val="auto"/>
              </w:rPr>
            </w:pPr>
          </w:p>
        </w:tc>
        <w:tc>
          <w:tcPr>
            <w:tcW w:w="2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592,934</w:t>
            </w:r>
          </w:p>
        </w:tc>
        <w:tc>
          <w:tcPr>
            <w:tcW w:w="100" w:type="dxa"/>
            <w:vAlign w:val="bottom"/>
          </w:tcPr>
          <w:p>
            <w:pPr>
              <w:spacing w:after="0"/>
              <w:rPr>
                <w:sz w:val="24"/>
                <w:szCs w:val="24"/>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718,218</w:t>
            </w:r>
          </w:p>
        </w:tc>
      </w:tr>
      <w:tr>
        <w:trPr>
          <w:trHeight w:val="486"/>
        </w:trPr>
        <w:tc>
          <w:tcPr>
            <w:tcW w:w="4820" w:type="dxa"/>
            <w:vAlign w:val="bottom"/>
          </w:tcPr>
          <w:p>
            <w:pPr>
              <w:ind w:left="80"/>
              <w:spacing w:after="0"/>
              <w:rPr>
                <w:sz w:val="20"/>
                <w:szCs w:val="20"/>
                <w:color w:val="auto"/>
              </w:rPr>
            </w:pPr>
            <w:r>
              <w:rPr>
                <w:rFonts w:ascii="Arial" w:cs="Arial" w:eastAsia="Arial" w:hAnsi="Arial"/>
                <w:sz w:val="14"/>
                <w:szCs w:val="14"/>
                <w:color w:val="auto"/>
              </w:rPr>
              <w:t>LTM Operating Profit/(Loss) (in US$ thousands)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863,774</w:t>
            </w:r>
          </w:p>
        </w:tc>
        <w:tc>
          <w:tcPr>
            <w:tcW w:w="100" w:type="dxa"/>
            <w:vAlign w:val="bottom"/>
          </w:tcPr>
          <w:p>
            <w:pPr>
              <w:spacing w:after="0"/>
              <w:rPr>
                <w:sz w:val="24"/>
                <w:szCs w:val="24"/>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750,788</w:t>
            </w:r>
          </w:p>
        </w:tc>
        <w:tc>
          <w:tcPr>
            <w:tcW w:w="10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818,960</w:t>
            </w:r>
          </w:p>
        </w:tc>
      </w:tr>
      <w:tr>
        <w:trPr>
          <w:trHeight w:val="216"/>
        </w:trPr>
        <w:tc>
          <w:tcPr>
            <w:tcW w:w="4820" w:type="dxa"/>
            <w:vAlign w:val="bottom"/>
          </w:tcPr>
          <w:p>
            <w:pPr>
              <w:ind w:left="80"/>
              <w:spacing w:after="0"/>
              <w:rPr>
                <w:sz w:val="20"/>
                <w:szCs w:val="20"/>
                <w:color w:val="auto"/>
              </w:rPr>
            </w:pPr>
            <w:r>
              <w:rPr>
                <w:rFonts w:ascii="Arial" w:cs="Arial" w:eastAsia="Arial" w:hAnsi="Arial"/>
                <w:sz w:val="14"/>
                <w:szCs w:val="14"/>
                <w:color w:val="auto"/>
              </w:rPr>
              <w:t>LTM Depreciation and amortization (in US$ thousands)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379,579</w:t>
            </w:r>
          </w:p>
        </w:tc>
        <w:tc>
          <w:tcPr>
            <w:tcW w:w="100" w:type="dxa"/>
            <w:vAlign w:val="bottom"/>
          </w:tcPr>
          <w:p>
            <w:pPr>
              <w:spacing w:after="0"/>
              <w:rPr>
                <w:sz w:val="18"/>
                <w:szCs w:val="18"/>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333,628</w:t>
            </w:r>
          </w:p>
        </w:tc>
        <w:tc>
          <w:tcPr>
            <w:tcW w:w="10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365,137</w:t>
            </w:r>
          </w:p>
        </w:tc>
      </w:tr>
      <w:tr>
        <w:trPr>
          <w:trHeight w:val="216"/>
        </w:trPr>
        <w:tc>
          <w:tcPr>
            <w:tcW w:w="4820" w:type="dxa"/>
            <w:vAlign w:val="bottom"/>
          </w:tcPr>
          <w:p>
            <w:pPr>
              <w:ind w:left="80"/>
              <w:spacing w:after="0"/>
              <w:rPr>
                <w:sz w:val="20"/>
                <w:szCs w:val="20"/>
                <w:color w:val="auto"/>
              </w:rPr>
            </w:pPr>
            <w:r>
              <w:rPr>
                <w:rFonts w:ascii="Arial" w:cs="Arial" w:eastAsia="Arial" w:hAnsi="Arial"/>
                <w:sz w:val="14"/>
                <w:szCs w:val="14"/>
                <w:color w:val="auto"/>
              </w:rPr>
              <w:t>LTM EBITDA (in US$ thousands)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1,243,353</w:t>
            </w:r>
          </w:p>
        </w:tc>
        <w:tc>
          <w:tcPr>
            <w:tcW w:w="100" w:type="dxa"/>
            <w:vAlign w:val="bottom"/>
          </w:tcPr>
          <w:p>
            <w:pPr>
              <w:spacing w:after="0"/>
              <w:rPr>
                <w:sz w:val="18"/>
                <w:szCs w:val="18"/>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1,084,417</w:t>
            </w:r>
          </w:p>
        </w:tc>
        <w:tc>
          <w:tcPr>
            <w:tcW w:w="10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1,184,096</w:t>
            </w:r>
          </w:p>
        </w:tc>
      </w:tr>
      <w:tr>
        <w:trPr>
          <w:trHeight w:val="479"/>
        </w:trPr>
        <w:tc>
          <w:tcPr>
            <w:tcW w:w="4820" w:type="dxa"/>
            <w:vAlign w:val="bottom"/>
          </w:tcPr>
          <w:p>
            <w:pPr>
              <w:spacing w:after="0"/>
              <w:rPr>
                <w:sz w:val="20"/>
                <w:szCs w:val="20"/>
                <w:color w:val="auto"/>
              </w:rPr>
            </w:pPr>
            <w:r>
              <w:rPr>
                <w:rFonts w:ascii="Arial" w:cs="Arial" w:eastAsia="Arial" w:hAnsi="Arial"/>
                <w:sz w:val="14"/>
                <w:szCs w:val="14"/>
                <w:b w:val="1"/>
                <w:bCs w:val="1"/>
                <w:color w:val="auto"/>
              </w:rPr>
              <w:t>Adjusted Net Debt to EBITDA</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0.7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0.5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2026-05-14T16:38:40Z</dcterms:created>
  <dcterms:modified xsi:type="dcterms:W3CDTF">2026-05-14T16:38:40Z</dcterms:modified>
</cp:coreProperties>
</file>