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88"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24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Report of Foreign Issuer</w:t>
      </w:r>
    </w:p>
    <w:p>
      <w:pPr>
        <w:spacing w:after="0" w:line="22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3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0"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Report on Form 6-K dated for the month of July 2022</w:t>
      </w:r>
    </w:p>
    <w:p>
      <w:pPr>
        <w:spacing w:after="0" w:line="200" w:lineRule="exact"/>
        <w:rPr>
          <w:sz w:val="24"/>
          <w:szCs w:val="24"/>
          <w:color w:val="auto"/>
        </w:rPr>
      </w:pPr>
    </w:p>
    <w:p>
      <w:pPr>
        <w:spacing w:after="0" w:line="21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Copa Holdings, S.A.</w:t>
      </w:r>
    </w:p>
    <w:p>
      <w:pPr>
        <w:spacing w:after="0" w:line="4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13"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Boulevard Costa del Este, Avenida Principal y Avenida de la Rotonda</w:t>
      </w:r>
    </w:p>
    <w:p>
      <w:pPr>
        <w:spacing w:after="0" w:line="30"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Urbanización Costa del Este</w:t>
      </w:r>
    </w:p>
    <w:p>
      <w:pPr>
        <w:spacing w:after="0" w:line="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Complejo Business Park, Torre Norte</w:t>
      </w:r>
    </w:p>
    <w:p>
      <w:pPr>
        <w:spacing w:after="0" w:line="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ParqueLefevre</w:t>
      </w:r>
    </w:p>
    <w:p>
      <w:pPr>
        <w:spacing w:after="0" w:line="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Panama City, Panama</w:t>
      </w:r>
    </w:p>
    <w:p>
      <w:pPr>
        <w:spacing w:after="0" w:line="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19"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2" w:lineRule="exact"/>
        <w:rPr>
          <w:sz w:val="24"/>
          <w:szCs w:val="24"/>
          <w:color w:val="auto"/>
        </w:rPr>
      </w:pPr>
    </w:p>
    <w:p>
      <w:pPr>
        <w:ind w:left="4240"/>
        <w:spacing w:after="0"/>
        <w:tabs>
          <w:tab w:leader="none" w:pos="5160" w:val="left"/>
          <w:tab w:leader="none" w:pos="564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Times New Roman" w:cs="Times New Roman" w:eastAsia="Times New Roman" w:hAnsi="Times New Roman"/>
          <w:sz w:val="18"/>
          <w:szCs w:val="18"/>
          <w:u w:val="single" w:color="auto"/>
          <w:color w:val="FF6600"/>
        </w:rPr>
        <w:t>X</w:t>
      </w:r>
      <w:r>
        <w:rPr>
          <w:sz w:val="20"/>
          <w:szCs w:val="20"/>
          <w:color w:val="auto"/>
        </w:rPr>
        <w:tab/>
      </w:r>
      <w:r>
        <w:rPr>
          <w:rFonts w:ascii="Times New Roman" w:cs="Times New Roman" w:eastAsia="Times New Roman" w:hAnsi="Times New Roman"/>
          <w:sz w:val="18"/>
          <w:szCs w:val="18"/>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-8255</wp:posOffset>
            </wp:positionV>
            <wp:extent cx="85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3370580</wp:posOffset>
            </wp:positionH>
            <wp:positionV relativeFrom="paragraph">
              <wp:posOffset>-8255</wp:posOffset>
            </wp:positionV>
            <wp:extent cx="850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090" cy="8255"/>
                    </a:xfrm>
                    <a:prstGeom prst="rect">
                      <a:avLst/>
                    </a:prstGeom>
                    <a:noFill/>
                  </pic:spPr>
                </pic:pic>
              </a:graphicData>
            </a:graphic>
          </wp:anchor>
        </w:drawing>
        <w:drawing>
          <wp:anchor simplePos="0" relativeHeight="251657728" behindDoc="1" locked="0" layoutInCell="0" allowOverlap="1">
            <wp:simplePos x="0" y="0"/>
            <wp:positionH relativeFrom="column">
              <wp:posOffset>4115435</wp:posOffset>
            </wp:positionH>
            <wp:positionV relativeFrom="paragraph">
              <wp:posOffset>-8255</wp:posOffset>
            </wp:positionV>
            <wp:extent cx="340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0995" cy="8255"/>
                    </a:xfrm>
                    <a:prstGeom prst="rect">
                      <a:avLst/>
                    </a:prstGeom>
                    <a:noFill/>
                  </pic:spPr>
                </pic:pic>
              </a:graphicData>
            </a:graphic>
          </wp:anchor>
        </w:drawing>
      </w:r>
    </w:p>
    <w:p>
      <w:pPr>
        <w:spacing w:after="0" w:line="202" w:lineRule="exact"/>
        <w:rPr>
          <w:sz w:val="24"/>
          <w:szCs w:val="24"/>
          <w:color w:val="auto"/>
        </w:rPr>
      </w:pPr>
    </w:p>
    <w:p>
      <w:pPr>
        <w:ind w:firstLine="588"/>
        <w:spacing w:after="0" w:line="279" w:lineRule="auto"/>
        <w:rPr>
          <w:sz w:val="20"/>
          <w:szCs w:val="20"/>
          <w:color w:val="auto"/>
        </w:rPr>
      </w:pPr>
      <w:r>
        <w:rPr>
          <w:rFonts w:ascii="Times New Roman" w:cs="Times New Roman" w:eastAsia="Times New Roman" w:hAnsi="Times New Roman"/>
          <w:sz w:val="18"/>
          <w:szCs w:val="18"/>
          <w:color w:val="auto"/>
        </w:rPr>
        <w:t>(Indicate by check whether the registrant by furnishing the information contained in this Form is also thereby furnishing the information to the Commission pursuant to Rule 12g3-2(b) under the Securities Exchange Act of 1934.)</w:t>
      </w:r>
    </w:p>
    <w:p>
      <w:pPr>
        <w:spacing w:after="0" w:line="149" w:lineRule="exact"/>
        <w:rPr>
          <w:sz w:val="24"/>
          <w:szCs w:val="24"/>
          <w:color w:val="auto"/>
        </w:rPr>
      </w:pPr>
    </w:p>
    <w:tbl>
      <w:tblPr>
        <w:tblLayout w:type="fixed"/>
        <w:tblInd w:w="600" w:type="dxa"/>
        <w:tblCellMar>
          <w:top w:w="0" w:type="dxa"/>
          <w:left w:w="0" w:type="dxa"/>
          <w:bottom w:w="0" w:type="dxa"/>
          <w:right w:w="0" w:type="dxa"/>
        </w:tblCellMar>
      </w:tblPr>
      <w:tr>
        <w:trPr>
          <w:trHeight w:val="207"/>
        </w:trPr>
        <w:tc>
          <w:tcPr>
            <w:tcW w:w="4420" w:type="dxa"/>
            <w:vAlign w:val="bottom"/>
          </w:tcPr>
          <w:p>
            <w:pPr>
              <w:ind w:left="4120"/>
              <w:spacing w:after="0"/>
              <w:rPr>
                <w:sz w:val="20"/>
                <w:szCs w:val="20"/>
                <w:color w:val="auto"/>
              </w:rPr>
            </w:pPr>
            <w:r>
              <w:rPr>
                <w:rFonts w:ascii="Times New Roman" w:cs="Times New Roman" w:eastAsia="Times New Roman" w:hAnsi="Times New Roman"/>
                <w:sz w:val="18"/>
                <w:szCs w:val="18"/>
                <w:color w:val="auto"/>
                <w:w w:val="99"/>
              </w:rPr>
              <w:t>Yes</w:t>
            </w:r>
          </w:p>
        </w:tc>
        <w:tc>
          <w:tcPr>
            <w:tcW w:w="540" w:type="dxa"/>
            <w:vAlign w:val="bottom"/>
          </w:tcPr>
          <w:p>
            <w:pPr>
              <w:spacing w:after="0"/>
              <w:rPr>
                <w:sz w:val="18"/>
                <w:szCs w:val="18"/>
                <w:color w:val="auto"/>
              </w:rPr>
            </w:pPr>
          </w:p>
        </w:tc>
        <w:tc>
          <w:tcPr>
            <w:tcW w:w="33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 xml:space="preserve">No   </w:t>
            </w:r>
            <w:r>
              <w:rPr>
                <w:rFonts w:ascii="Times New Roman" w:cs="Times New Roman" w:eastAsia="Times New Roman" w:hAnsi="Times New Roman"/>
                <w:sz w:val="18"/>
                <w:szCs w:val="18"/>
                <w:color w:val="FF6600"/>
              </w:rPr>
              <w:t>X</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FF66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9"/>
        </w:trPr>
        <w:tc>
          <w:tcPr>
            <w:tcW w:w="834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(If “Yes” is marked, indicate below the file number assigned to the registrant in connection with Rule 12g3-2(b);82-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Enclosure: Press Release - </w:t>
      </w:r>
      <w:r>
        <w:rPr>
          <w:rFonts w:ascii="Times New Roman" w:cs="Times New Roman" w:eastAsia="Times New Roman" w:hAnsi="Times New Roman"/>
          <w:sz w:val="18"/>
          <w:szCs w:val="18"/>
          <w:b w:val="1"/>
          <w:bCs w:val="1"/>
          <w:color w:val="auto"/>
        </w:rPr>
        <w:t>Copa Holdings Announces Second Quarter 2022 Financial Results Release Schedule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227965</wp:posOffset>
            </wp:positionV>
            <wp:extent cx="717550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0800"/>
          </w:cols>
          <w:pgMar w:left="320" w:top="200" w:right="77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Copa Holdings, S.A.</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7</w:t>
      </w:r>
      <w:r>
        <w:rPr>
          <w:rFonts w:ascii="Times New Roman" w:cs="Times New Roman" w:eastAsia="Times New Roman" w:hAnsi="Times New Roman"/>
          <w:sz w:val="18"/>
          <w:szCs w:val="18"/>
          <w:u w:val="single" w:color="auto"/>
          <w:color w:val="auto"/>
        </w:rPr>
        <w:t>/6/2022</w:t>
      </w:r>
    </w:p>
    <w:p>
      <w:pPr>
        <w:spacing w:after="0" w:line="8"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José Montero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4445</wp:posOffset>
            </wp:positionV>
            <wp:extent cx="3281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81045"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Name: José Montero</w:t>
      </w:r>
    </w:p>
    <w:p>
      <w:pPr>
        <w:spacing w:after="0" w:line="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CFO</w:t>
      </w:r>
    </w:p>
    <w:p>
      <w:pPr>
        <w:sectPr>
          <w:pgSz w:w="11900" w:h="16838" w:orient="portrait"/>
          <w:cols w:equalWidth="0" w:num="1">
            <w:col w:w="11180"/>
          </w:cols>
          <w:pgMar w:left="320" w:top="345" w:right="3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1"/>
          <w:szCs w:val="21"/>
          <w:b w:val="1"/>
          <w:bCs w:val="1"/>
          <w:color w:val="auto"/>
        </w:rPr>
        <w:t>Exhibit 99.</w:t>
      </w: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Copa Holdings Announces Second Quarter 2022 Financial Results Release Schedule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PANAMA CITY, July 6, 2022 /PRNewswire/ -- Copa Holdings, S.A. (NYSE: CPA) announces the following events:</w:t>
      </w:r>
    </w:p>
    <w:p>
      <w:pPr>
        <w:sectPr>
          <w:pgSz w:w="11900" w:h="16838" w:orient="portrait"/>
          <w:cols w:equalWidth="0" w:num="1">
            <w:col w:w="11140"/>
          </w:cols>
          <w:pgMar w:left="500" w:top="108" w:right="259" w:bottom="1440" w:gutter="0" w:footer="0" w:header="0"/>
        </w:sectPr>
      </w:pPr>
    </w:p>
    <w:p>
      <w:pPr>
        <w:spacing w:after="0" w:line="31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Earnings Release – Second Quarter 2022</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Date:</w:t>
      </w:r>
    </w:p>
    <w:p>
      <w:pPr>
        <w:ind w:left="100"/>
        <w:spacing w:after="0"/>
        <w:rPr>
          <w:sz w:val="20"/>
          <w:szCs w:val="20"/>
          <w:color w:val="auto"/>
        </w:rPr>
      </w:pPr>
      <w:r>
        <w:rPr>
          <w:rFonts w:ascii="Arial" w:cs="Arial" w:eastAsia="Arial" w:hAnsi="Arial"/>
          <w:sz w:val="14"/>
          <w:szCs w:val="14"/>
          <w:b w:val="1"/>
          <w:bCs w:val="1"/>
          <w:color w:val="auto"/>
        </w:rPr>
        <w:t>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August 3, 2022</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After US market close</w:t>
      </w:r>
    </w:p>
    <w:p>
      <w:pPr>
        <w:spacing w:after="0" w:line="67" w:lineRule="exact"/>
        <w:rPr>
          <w:sz w:val="20"/>
          <w:szCs w:val="20"/>
          <w:color w:val="auto"/>
        </w:rPr>
      </w:pPr>
    </w:p>
    <w:p>
      <w:pPr>
        <w:sectPr>
          <w:pgSz w:w="11900" w:h="16838" w:orient="portrait"/>
          <w:cols w:equalWidth="0" w:num="2">
            <w:col w:w="3220" w:space="720"/>
            <w:col w:w="7200"/>
          </w:cols>
          <w:pgMar w:left="500" w:top="108" w:right="25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This release will be available on our website: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https://copa.gcs-web.com/financial-information/quarterly-results</w:t>
      </w:r>
    </w:p>
    <w:p>
      <w:pPr>
        <w:spacing w:after="0" w:line="161" w:lineRule="exact"/>
        <w:rPr>
          <w:sz w:val="20"/>
          <w:szCs w:val="20"/>
          <w:color w:val="auto"/>
        </w:rPr>
      </w:pPr>
    </w:p>
    <w:p>
      <w:pPr>
        <w:sectPr>
          <w:pgSz w:w="11900" w:h="16838" w:orient="portrait"/>
          <w:cols w:equalWidth="0" w:num="2">
            <w:col w:w="3220" w:space="720"/>
            <w:col w:w="7200"/>
          </w:cols>
          <w:pgMar w:left="500" w:top="108" w:right="259" w:bottom="1440" w:gutter="0" w:footer="0" w:header="0"/>
          <w:type w:val="continuous"/>
        </w:sectPr>
      </w:pPr>
    </w:p>
    <w:p>
      <w:pPr>
        <w:ind w:left="100"/>
        <w:spacing w:after="0"/>
        <w:rPr>
          <w:sz w:val="20"/>
          <w:szCs w:val="20"/>
          <w:color w:val="auto"/>
        </w:rPr>
      </w:pPr>
      <w:r>
        <w:rPr>
          <w:rFonts w:ascii="Arial" w:cs="Arial" w:eastAsia="Arial" w:hAnsi="Arial"/>
          <w:sz w:val="14"/>
          <w:szCs w:val="14"/>
          <w:b w:val="1"/>
          <w:bCs w:val="1"/>
          <w:color w:val="auto"/>
        </w:rPr>
        <w:t>Earnings Conference Call and Webcast</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Date:</w:t>
      </w:r>
    </w:p>
    <w:p>
      <w:pPr>
        <w:ind w:left="100"/>
        <w:spacing w:after="0"/>
        <w:rPr>
          <w:sz w:val="20"/>
          <w:szCs w:val="20"/>
          <w:color w:val="auto"/>
        </w:rPr>
      </w:pPr>
      <w:r>
        <w:rPr>
          <w:rFonts w:ascii="Arial" w:cs="Arial" w:eastAsia="Arial" w:hAnsi="Arial"/>
          <w:sz w:val="14"/>
          <w:szCs w:val="14"/>
          <w:b w:val="1"/>
          <w:bCs w:val="1"/>
          <w:color w:val="auto"/>
        </w:rPr>
        <w:t>Time:</w:t>
      </w:r>
    </w:p>
    <w:p>
      <w:pPr>
        <w:ind w:left="100"/>
        <w:spacing w:after="0"/>
        <w:rPr>
          <w:sz w:val="20"/>
          <w:szCs w:val="20"/>
          <w:color w:val="auto"/>
        </w:rPr>
      </w:pPr>
      <w:r>
        <w:rPr>
          <w:rFonts w:ascii="Arial" w:cs="Arial" w:eastAsia="Arial" w:hAnsi="Arial"/>
          <w:sz w:val="14"/>
          <w:szCs w:val="14"/>
          <w:b w:val="1"/>
          <w:bCs w:val="1"/>
          <w:color w:val="auto"/>
        </w:rPr>
        <w:t>Join by phone:</w:t>
      </w:r>
    </w:p>
    <w:p>
      <w:pPr>
        <w:ind w:left="100"/>
        <w:spacing w:after="0"/>
        <w:rPr>
          <w:sz w:val="20"/>
          <w:szCs w:val="20"/>
          <w:color w:val="auto"/>
        </w:rPr>
      </w:pPr>
      <w:r>
        <w:rPr>
          <w:rFonts w:ascii="Arial" w:cs="Arial" w:eastAsia="Arial" w:hAnsi="Arial"/>
          <w:sz w:val="14"/>
          <w:szCs w:val="14"/>
          <w:b w:val="1"/>
          <w:bCs w:val="1"/>
          <w:color w:val="auto"/>
        </w:rPr>
        <w:t>Webcast (listen-only):</w:t>
      </w:r>
    </w:p>
    <w:p>
      <w:pPr>
        <w:ind w:left="100"/>
        <w:spacing w:after="0"/>
        <w:rPr>
          <w:sz w:val="20"/>
          <w:szCs w:val="20"/>
          <w:color w:val="auto"/>
        </w:rPr>
      </w:pPr>
      <w:r>
        <w:rPr>
          <w:rFonts w:ascii="Arial" w:cs="Arial" w:eastAsia="Arial" w:hAnsi="Arial"/>
          <w:sz w:val="14"/>
          <w:szCs w:val="14"/>
          <w:b w:val="1"/>
          <w:bCs w:val="1"/>
          <w:color w:val="auto"/>
        </w:rPr>
        <w:t>Speakers: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August 4, 2022</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11:00 AM US ET (10:00 AM Local Time)</w:t>
      </w:r>
    </w:p>
    <w:p>
      <w:pPr>
        <w:spacing w:after="0"/>
        <w:rPr>
          <w:sz w:val="20"/>
          <w:szCs w:val="20"/>
          <w:color w:val="auto"/>
        </w:rPr>
      </w:pPr>
      <w:r>
        <w:rPr>
          <w:rFonts w:ascii="Arial" w:cs="Arial" w:eastAsia="Arial" w:hAnsi="Arial"/>
          <w:sz w:val="14"/>
          <w:szCs w:val="14"/>
          <w:color w:val="auto"/>
        </w:rPr>
        <w:t>Join by phone</w:t>
      </w:r>
    </w:p>
    <w:p>
      <w:pPr>
        <w:spacing w:after="0"/>
        <w:rPr>
          <w:sz w:val="20"/>
          <w:szCs w:val="20"/>
          <w:color w:val="auto"/>
        </w:rPr>
      </w:pPr>
      <w:r>
        <w:rPr>
          <w:rFonts w:ascii="Arial" w:cs="Arial" w:eastAsia="Arial" w:hAnsi="Arial"/>
          <w:sz w:val="14"/>
          <w:szCs w:val="14"/>
          <w:color w:val="auto"/>
        </w:rPr>
        <w:t>Webcast (listen-only)</w:t>
      </w:r>
    </w:p>
    <w:p>
      <w:pPr>
        <w:spacing w:after="0"/>
        <w:rPr>
          <w:sz w:val="20"/>
          <w:szCs w:val="20"/>
          <w:color w:val="auto"/>
        </w:rPr>
      </w:pPr>
      <w:r>
        <w:rPr>
          <w:rFonts w:ascii="Arial" w:cs="Arial" w:eastAsia="Arial" w:hAnsi="Arial"/>
          <w:sz w:val="14"/>
          <w:szCs w:val="14"/>
          <w:color w:val="auto"/>
        </w:rPr>
        <w:t>Pedro Heilbron, Chief Executive Officer</w:t>
      </w:r>
    </w:p>
    <w:p>
      <w:pPr>
        <w:spacing w:after="0"/>
        <w:rPr>
          <w:sz w:val="20"/>
          <w:szCs w:val="20"/>
          <w:color w:val="auto"/>
        </w:rPr>
      </w:pPr>
      <w:r>
        <w:rPr>
          <w:rFonts w:ascii="Arial" w:cs="Arial" w:eastAsia="Arial" w:hAnsi="Arial"/>
          <w:sz w:val="14"/>
          <w:szCs w:val="14"/>
          <w:color w:val="auto"/>
        </w:rPr>
        <w:t>José Montero, Chief Financial Officer</w:t>
      </w:r>
    </w:p>
    <w:p>
      <w:pPr>
        <w:spacing w:after="0" w:line="200" w:lineRule="exact"/>
        <w:rPr>
          <w:sz w:val="20"/>
          <w:szCs w:val="20"/>
          <w:color w:val="auto"/>
        </w:rPr>
      </w:pPr>
    </w:p>
    <w:p>
      <w:pPr>
        <w:sectPr>
          <w:pgSz w:w="11900" w:h="16838" w:orient="portrait"/>
          <w:cols w:equalWidth="0" w:num="2">
            <w:col w:w="3220" w:space="720"/>
            <w:col w:w="7200"/>
          </w:cols>
          <w:pgMar w:left="500" w:top="108" w:right="259" w:bottom="1440" w:gutter="0" w:footer="0" w:header="0"/>
          <w:type w:val="continuous"/>
        </w:sectPr>
      </w:pPr>
    </w:p>
    <w:p>
      <w:pPr>
        <w:spacing w:after="0" w:line="305"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1"/>
          <w:szCs w:val="21"/>
          <w:color w:val="auto"/>
        </w:rPr>
        <w:t>We encourage our listeners to join the conference via webcast. Please access the website several minutes prior to the scheduled start time, allowing sufficient time to register, download and install any necessary software.</w:t>
      </w:r>
    </w:p>
    <w:p>
      <w:pPr>
        <w:spacing w:after="0" w:line="14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1"/>
          <w:szCs w:val="21"/>
          <w:color w:val="auto"/>
        </w:rPr>
        <w:t>If you are unable to listen or access this presentation at the scheduled time, a webcast replay option will be available at the above website shortly after the conference.</w:t>
      </w:r>
    </w:p>
    <w:p>
      <w:pPr>
        <w:spacing w:after="0" w:line="136"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1"/>
          <w:szCs w:val="21"/>
          <w:i w:val="1"/>
          <w:iCs w:val="1"/>
          <w:color w:val="auto"/>
        </w:rPr>
        <w:t xml:space="preserve">Copa Holdings is a leading Latin American provider of passenger and cargo services. The Company, through its operating subsidiaries, provides service to countries in North, Central and South America and the Caribbean. For more information visit </w:t>
      </w:r>
      <w:r>
        <w:rPr>
          <w:rFonts w:ascii="Times New Roman" w:cs="Times New Roman" w:eastAsia="Times New Roman" w:hAnsi="Times New Roman"/>
          <w:sz w:val="21"/>
          <w:szCs w:val="21"/>
          <w:color w:val="auto"/>
        </w:rPr>
        <w:t>www.copa.com</w:t>
      </w:r>
      <w:r>
        <w:rPr>
          <w:rFonts w:ascii="Times New Roman" w:cs="Times New Roman" w:eastAsia="Times New Roman" w:hAnsi="Times New Roman"/>
          <w:sz w:val="21"/>
          <w:szCs w:val="21"/>
          <w:i w:val="1"/>
          <w:iCs w:val="1"/>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CPA-G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CONTACT: </w:t>
      </w:r>
      <w:r>
        <w:rPr>
          <w:rFonts w:ascii="Times New Roman" w:cs="Times New Roman" w:eastAsia="Times New Roman" w:hAnsi="Times New Roman"/>
          <w:sz w:val="21"/>
          <w:szCs w:val="21"/>
          <w:color w:val="auto"/>
        </w:rPr>
        <w:t>Daniel Tapia – Panamá</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 – Investor Relations</w:t>
      </w:r>
    </w:p>
    <w:p>
      <w:pPr>
        <w:spacing w:after="0"/>
        <w:rPr>
          <w:sz w:val="20"/>
          <w:szCs w:val="20"/>
          <w:color w:val="auto"/>
        </w:rPr>
      </w:pPr>
      <w:r>
        <w:rPr>
          <w:rFonts w:ascii="Times New Roman" w:cs="Times New Roman" w:eastAsia="Times New Roman" w:hAnsi="Times New Roman"/>
          <w:sz w:val="21"/>
          <w:szCs w:val="21"/>
          <w:color w:val="auto"/>
        </w:rPr>
        <w:t>011 (507) 304-2774</w:t>
      </w:r>
    </w:p>
    <w:sectPr>
      <w:pgSz w:w="11900" w:h="16838" w:orient="portrait"/>
      <w:cols w:equalWidth="0" w:num="1">
        <w:col w:w="11140"/>
      </w:cols>
      <w:pgMar w:left="500" w:top="108"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2022-07-06T15:08:40Z</dcterms:created>
  <dcterms:modified xsi:type="dcterms:W3CDTF">2022-07-06T15:08:40Z</dcterms:modified>
</cp:coreProperties>
</file>