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285115</wp:posOffset>
            </wp:positionH>
            <wp:positionV relativeFrom="page">
              <wp:posOffset>817880</wp:posOffset>
            </wp:positionV>
            <wp:extent cx="69780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843280</wp:posOffset>
            </wp:positionV>
            <wp:extent cx="69780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8015"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1"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147"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198"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Report of Foreign Issuer</w:t>
      </w:r>
    </w:p>
    <w:p>
      <w:pPr>
        <w:spacing w:after="0" w:line="2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on Form 6-K dated for the month of May 2026</w:t>
      </w:r>
    </w:p>
    <w:p>
      <w:pPr>
        <w:spacing w:after="0" w:line="22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Copa Holdings, S.A.</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19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208"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Boulevard Costa del Este, Avenida Principal y Avenida de la Rotonda</w:t>
      </w:r>
    </w:p>
    <w:p>
      <w:pPr>
        <w:spacing w:after="0" w:line="2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Urbanización Costa del Este</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Complejo Business Park, Torre Norte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ParqueLefevre</w:t>
      </w:r>
    </w:p>
    <w:p>
      <w:pPr>
        <w:jc w:val="center"/>
        <w:spacing w:after="0" w:line="235" w:lineRule="auto"/>
        <w:rPr>
          <w:sz w:val="20"/>
          <w:szCs w:val="20"/>
          <w:color w:val="auto"/>
        </w:rPr>
      </w:pPr>
      <w:r>
        <w:rPr>
          <w:rFonts w:ascii="Times New Roman" w:cs="Times New Roman" w:eastAsia="Times New Roman" w:hAnsi="Times New Roman"/>
          <w:sz w:val="18"/>
          <w:szCs w:val="18"/>
          <w:b w:val="1"/>
          <w:bCs w:val="1"/>
          <w:color w:val="auto"/>
        </w:rPr>
        <w:t>Panama City, Panama</w:t>
      </w: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5"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225"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52" w:lineRule="exact"/>
        <w:rPr>
          <w:sz w:val="24"/>
          <w:szCs w:val="24"/>
          <w:color w:val="auto"/>
        </w:rPr>
      </w:pPr>
    </w:p>
    <w:p>
      <w:pPr>
        <w:ind w:left="4420"/>
        <w:spacing w:after="0"/>
        <w:tabs>
          <w:tab w:leader="none" w:pos="6140" w:val="left"/>
        </w:tabs>
        <w:rPr>
          <w:sz w:val="20"/>
          <w:szCs w:val="20"/>
          <w:color w:val="auto"/>
        </w:rPr>
      </w:pPr>
      <w:r>
        <w:rPr>
          <w:rFonts w:ascii="Times New Roman" w:cs="Times New Roman" w:eastAsia="Times New Roman" w:hAnsi="Times New Roman"/>
          <w:sz w:val="18"/>
          <w:szCs w:val="18"/>
          <w:color w:val="auto"/>
        </w:rPr>
        <w:t xml:space="preserve">Form 20-F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7"/>
          <w:szCs w:val="17"/>
          <w:color w:val="auto"/>
        </w:rPr>
        <w:t xml:space="preserve">Form 40-F </w:t>
      </w:r>
      <w:r>
        <w:rPr>
          <w:rFonts w:ascii="Wingdings" w:cs="Wingdings" w:eastAsia="Wingdings" w:hAnsi="Wingdings"/>
          <w:sz w:val="17"/>
          <w:szCs w:val="17"/>
          <w:b w:val="1"/>
          <w:bCs w:val="1"/>
          <w:color w:val="auto"/>
        </w:rPr>
        <w:t>o</w:t>
      </w:r>
    </w:p>
    <w:p>
      <w:pPr>
        <w:spacing w:after="0" w:line="225" w:lineRule="exact"/>
        <w:rPr>
          <w:sz w:val="24"/>
          <w:szCs w:val="24"/>
          <w:color w:val="auto"/>
        </w:rPr>
      </w:pPr>
    </w:p>
    <w:p>
      <w:pPr>
        <w:ind w:right="100" w:firstLine="1134"/>
        <w:spacing w:after="0" w:line="266" w:lineRule="auto"/>
        <w:rPr>
          <w:sz w:val="20"/>
          <w:szCs w:val="20"/>
          <w:color w:val="auto"/>
        </w:rPr>
      </w:pPr>
      <w:r>
        <w:rPr>
          <w:rFonts w:ascii="Times New Roman" w:cs="Times New Roman" w:eastAsia="Times New Roman" w:hAnsi="Times New Roman"/>
          <w:sz w:val="18"/>
          <w:szCs w:val="18"/>
          <w:color w:val="auto"/>
        </w:rPr>
        <w:t>(Indicate by check whether the registrant by furnishing the information contained in this Form is also thereby furnishing the information to the Commission pursuant to Rule 12g3-2(b) under the Securities Exchange Act of 1934.)</w:t>
      </w:r>
    </w:p>
    <w:p>
      <w:pPr>
        <w:spacing w:after="0" w:line="216" w:lineRule="exact"/>
        <w:rPr>
          <w:sz w:val="24"/>
          <w:szCs w:val="24"/>
          <w:color w:val="auto"/>
        </w:rPr>
      </w:pPr>
    </w:p>
    <w:p>
      <w:pPr>
        <w:ind w:left="4920"/>
        <w:spacing w:after="0"/>
        <w:tabs>
          <w:tab w:leader="none" w:pos="598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sz w:val="20"/>
          <w:szCs w:val="20"/>
          <w:color w:val="auto"/>
        </w:rPr>
        <w:tab/>
      </w:r>
      <w:r>
        <w:rPr>
          <w:rFonts w:ascii="Times New Roman" w:cs="Times New Roman" w:eastAsia="Times New Roman" w:hAnsi="Times New Roman"/>
          <w:sz w:val="17"/>
          <w:szCs w:val="17"/>
          <w:color w:val="auto"/>
        </w:rPr>
        <w:t xml:space="preserve">No </w:t>
      </w:r>
      <w:r>
        <w:rPr>
          <w:rFonts w:ascii="Wingdings" w:cs="Wingdings" w:eastAsia="Wingdings" w:hAnsi="Wingdings"/>
          <w:sz w:val="17"/>
          <w:szCs w:val="17"/>
          <w:b w:val="1"/>
          <w:bCs w:val="1"/>
          <w:color w:val="auto"/>
        </w:rPr>
        <w:t>x</w:t>
      </w:r>
    </w:p>
    <w:p>
      <w:pPr>
        <w:spacing w:after="0" w:line="225"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(If “Yes” is marked, indicate below the file number assigned to the registrant in connection with Rule 12g3-2(b);82-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COPA HOLDINGS, S.A. HOLDS ANNUAL SHAREHOLDERS MEETING</w:t>
      </w:r>
    </w:p>
    <w:p>
      <w:pPr>
        <w:spacing w:after="0" w:line="229" w:lineRule="exact"/>
        <w:rPr>
          <w:sz w:val="24"/>
          <w:szCs w:val="24"/>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Copa Holdings, S.A. (the “Company”), held its Annual Shareholders Meeting (the “Meeting”) at Copa Airlines’ headquarters, located at Boulevard Costa del Este, Avenida Principal y Avenida de la Rotonda, Urbanización Costa del Este, Complejo Business Park, Torre Norte, Parque Lefevre, Panama City, Panama on May 13</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2026, at 4:00 p.m. ET (3:00 p.m. Local Time).</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proposals approved at this meeting were the following:</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Class A Shareholders of Copa Holdings, S.A. approved:</w:t>
      </w:r>
    </w:p>
    <w:p>
      <w:pPr>
        <w:spacing w:after="0" w:line="28" w:lineRule="exact"/>
        <w:rPr>
          <w:sz w:val="24"/>
          <w:szCs w:val="24"/>
          <w:color w:val="auto"/>
        </w:rPr>
      </w:pPr>
    </w:p>
    <w:p>
      <w:pPr>
        <w:jc w:val="both"/>
        <w:ind w:left="660" w:hanging="328"/>
        <w:spacing w:after="0" w:line="244" w:lineRule="auto"/>
        <w:tabs>
          <w:tab w:leader="none" w:pos="663" w:val="left"/>
        </w:tabs>
        <w:numPr>
          <w:ilvl w:val="0"/>
          <w:numId w:val="1"/>
        </w:numPr>
        <w:rPr>
          <w:rFonts w:ascii="Arial" w:cs="Arial" w:eastAsia="Arial" w:hAnsi="Arial"/>
          <w:sz w:val="20"/>
          <w:szCs w:val="20"/>
          <w:color w:val="auto"/>
        </w:rPr>
      </w:pPr>
      <w:r>
        <w:rPr>
          <w:rFonts w:ascii="Times New Roman" w:cs="Times New Roman" w:eastAsia="Times New Roman" w:hAnsi="Times New Roman"/>
          <w:sz w:val="18"/>
          <w:szCs w:val="18"/>
          <w:color w:val="auto"/>
        </w:rPr>
        <w:t>The nomination of Mrs. Julianne Canavaggio and Mr. Manuel Orillac, as per the recommendation of the Nominating Committee, as nominees for election as independent directors of the Company to hold office for a period of two years to expire on the annual shareholders meeting to be held in 2028.</w:t>
      </w:r>
    </w:p>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Class B Shareholders of Copa Holdings, S.A. approved:</w:t>
      </w:r>
    </w:p>
    <w:p>
      <w:pPr>
        <w:spacing w:after="0" w:line="28" w:lineRule="exact"/>
        <w:rPr>
          <w:sz w:val="24"/>
          <w:szCs w:val="24"/>
          <w:color w:val="auto"/>
        </w:rPr>
      </w:pPr>
    </w:p>
    <w:p>
      <w:pPr>
        <w:jc w:val="both"/>
        <w:ind w:left="660" w:hanging="328"/>
        <w:spacing w:after="0" w:line="242" w:lineRule="auto"/>
        <w:tabs>
          <w:tab w:leader="none" w:pos="663"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The election, as per the recommendation of the Nominating Committee, of the following directors, including the independent directors named above: Mr. Carlos Alberto Motta, Mr. Pedro Heilbron, Mr. Alvaro Heilbron, Mr. Andrew Levy, Mr. John Gebo, Mrs. Makelin Arias, Mrs. Julianne Canavaggio, and Mr. Manuel Orillac for a period of 2 years to expire on the annual shareholders meeting to be held in 2028.</w:t>
      </w:r>
    </w:p>
    <w:p>
      <w:pPr>
        <w:spacing w:after="0" w:line="2" w:lineRule="exact"/>
        <w:rPr>
          <w:rFonts w:ascii="Arial" w:cs="Arial" w:eastAsia="Arial" w:hAnsi="Arial"/>
          <w:sz w:val="20"/>
          <w:szCs w:val="20"/>
          <w:color w:val="auto"/>
        </w:rPr>
      </w:pPr>
    </w:p>
    <w:p>
      <w:pPr>
        <w:ind w:left="660" w:hanging="328"/>
        <w:spacing w:after="0" w:line="245"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notice of the resignation of Mr. Jose Castañeda and Mr. John Connor (also known as Josh Connor) as independent directors of the Company, effective on the date of the Meeting.</w:t>
      </w:r>
    </w:p>
    <w:p>
      <w:pPr>
        <w:sectPr>
          <w:pgSz w:w="11900" w:h="16838" w:orient="portrait"/>
          <w:cols w:equalWidth="0" w:num="1">
            <w:col w:w="11240"/>
          </w:cols>
          <w:pgMar w:left="320" w:top="1402" w:right="339" w:bottom="24"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About Copa Holdings</w:t>
      </w:r>
    </w:p>
    <w:p>
      <w:pPr>
        <w:spacing w:after="0" w:line="2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Copa Holdings is a leading Latin American provider of passenger and cargo services. The Company, through its operating subsidiaries, provides service to destinations in North, Central and South America and the Caribbean. For more information visit: </w:t>
      </w:r>
      <w:r>
        <w:rPr>
          <w:rFonts w:ascii="Times New Roman" w:cs="Times New Roman" w:eastAsia="Times New Roman" w:hAnsi="Times New Roman"/>
          <w:sz w:val="18"/>
          <w:szCs w:val="18"/>
          <w:i w:val="1"/>
          <w:iCs w:val="1"/>
          <w:color w:val="0000FF"/>
        </w:rPr>
        <w:t>www.copaair.com</w:t>
      </w:r>
      <w:r>
        <w:rPr>
          <w:rFonts w:ascii="Times New Roman" w:cs="Times New Roman" w:eastAsia="Times New Roman" w:hAnsi="Times New Roman"/>
          <w:sz w:val="18"/>
          <w:szCs w:val="18"/>
          <w:i w:val="1"/>
          <w:iCs w:val="1"/>
          <w:color w:val="auto"/>
        </w:rPr>
        <w:t>.</w:t>
      </w:r>
    </w:p>
    <w:p>
      <w:pPr>
        <w:sectPr>
          <w:pgSz w:w="11900" w:h="16838" w:orient="portrait"/>
          <w:cols w:equalWidth="0" w:num="1">
            <w:col w:w="11240"/>
          </w:cols>
          <w:pgMar w:left="320" w:top="347" w:right="33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3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9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Copa Holdings, S.A.</w:t>
      </w:r>
    </w:p>
    <w:p>
      <w:pPr>
        <w:ind w:left="5480"/>
        <w:spacing w:after="0"/>
        <w:rPr>
          <w:sz w:val="20"/>
          <w:szCs w:val="20"/>
          <w:color w:val="auto"/>
        </w:rPr>
      </w:pPr>
      <w:r>
        <w:rPr>
          <w:rFonts w:ascii="Times New Roman" w:cs="Times New Roman" w:eastAsia="Times New Roman" w:hAnsi="Times New Roman"/>
          <w:sz w:val="18"/>
          <w:szCs w:val="18"/>
          <w:color w:val="auto"/>
        </w:rPr>
        <w:t>(Registrant)</w:t>
      </w:r>
    </w:p>
    <w:p>
      <w:pPr>
        <w:spacing w:after="0" w:line="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5/15/2026</w:t>
      </w:r>
    </w:p>
    <w:p>
      <w:pPr>
        <w:spacing w:after="0" w:line="50" w:lineRule="exact"/>
        <w:rPr>
          <w:sz w:val="20"/>
          <w:szCs w:val="20"/>
          <w:color w:val="auto"/>
        </w:rPr>
      </w:pPr>
    </w:p>
    <w:p>
      <w:pPr>
        <w:ind w:left="5480"/>
        <w:spacing w:after="0"/>
        <w:tabs>
          <w:tab w:leader="none" w:pos="6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Donkersloot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Peter Donkersloot</w:t>
      </w:r>
    </w:p>
    <w:p>
      <w:pPr>
        <w:ind w:left="6100"/>
        <w:spacing w:after="0"/>
        <w:rPr>
          <w:sz w:val="20"/>
          <w:szCs w:val="20"/>
          <w:color w:val="auto"/>
        </w:rPr>
      </w:pPr>
      <w:r>
        <w:rPr>
          <w:rFonts w:ascii="Times New Roman" w:cs="Times New Roman" w:eastAsia="Times New Roman" w:hAnsi="Times New Roman"/>
          <w:sz w:val="18"/>
          <w:szCs w:val="18"/>
          <w:color w:val="auto"/>
        </w:rPr>
        <w:t>Title: CFO</w:t>
      </w:r>
    </w:p>
    <w:sectPr>
      <w:pgSz w:w="11900" w:h="16838" w:orient="portrait"/>
      <w:cols w:equalWidth="0" w:num="1">
        <w:col w:w="10280"/>
      </w:cols>
      <w:pgMar w:left="320" w:top="1359"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2026-05-18T05:03:08Z</dcterms:created>
  <dcterms:modified xsi:type="dcterms:W3CDTF">2026-05-18T05:03:08Z</dcterms:modified>
</cp:coreProperties>
</file>