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June 2024</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ind w:right="-119"/>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ind w:right="-119"/>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Enclosure: Press Release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w:t>
      </w:r>
      <w:r>
        <w:rPr>
          <w:rFonts w:ascii="Arial" w:cs="Arial" w:eastAsia="Arial" w:hAnsi="Arial"/>
          <w:sz w:val="14"/>
          <w:szCs w:val="14"/>
          <w:b w:val="1"/>
          <w:bCs w:val="1"/>
          <w:color w:val="auto"/>
        </w:rPr>
        <w:t>COPA HOLDINGS ANNOUNCES MONTHLY TRAFFIC STATISTICS FOR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106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214630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ectPr>
          <w:pgSz w:w="11900" w:h="16838" w:orient="portrait"/>
          <w:cols w:equalWidth="0" w:num="1">
            <w:col w:w="11140"/>
          </w:cols>
          <w:pgMar w:left="320" w:top="1402" w:right="4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7/10/2024</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José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José Montero</w:t>
      </w:r>
    </w:p>
    <w:p>
      <w:pPr>
        <w:ind w:left="610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280"/>
          </w:cols>
          <w:pgMar w:left="320" w:top="1359" w:right="12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COPA HOLDINGS ANNOUNCES MONTHLY TRAFFIC STATISTICS FOR JUNE 2024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PANAMA CITY, July 10, 2024 /PRNewswire/ -- Copa Holdings, S.A. (NYSE: CPA) today released preliminary passenger traffic statistics for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June 2024:</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680" w:type="dxa"/>
            <w:vAlign w:val="bottom"/>
            <w:tcBorders>
              <w:top w:val="single" w:sz="8" w:color="auto"/>
              <w:left w:val="single" w:sz="8" w:color="auto"/>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Operating Data</w:t>
            </w:r>
          </w:p>
        </w:tc>
        <w:tc>
          <w:tcPr>
            <w:tcW w:w="192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June</w:t>
            </w:r>
          </w:p>
        </w:tc>
        <w:tc>
          <w:tcPr>
            <w:tcW w:w="168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June</w:t>
            </w:r>
          </w:p>
        </w:tc>
        <w:tc>
          <w:tcPr>
            <w:tcW w:w="1680" w:type="dxa"/>
            <w:vAlign w:val="bottom"/>
            <w:tcBorders>
              <w:top w:val="single" w:sz="8" w:color="auto"/>
              <w:right w:val="single" w:sz="8" w:color="auto"/>
            </w:tcBorders>
            <w:vMerge w:val="restart"/>
          </w:tcPr>
          <w:p>
            <w:pPr>
              <w:jc w:val="right"/>
              <w:ind w:right="45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125"/>
        </w:trPr>
        <w:tc>
          <w:tcPr>
            <w:tcW w:w="3680" w:type="dxa"/>
            <w:vAlign w:val="bottom"/>
            <w:tcBorders>
              <w:left w:val="single" w:sz="8" w:color="auto"/>
              <w:right w:val="single" w:sz="8" w:color="auto"/>
            </w:tcBorders>
            <w:vMerge w:val="continue"/>
          </w:tcPr>
          <w:p>
            <w:pPr>
              <w:spacing w:after="0"/>
              <w:rPr>
                <w:sz w:val="10"/>
                <w:szCs w:val="10"/>
                <w:color w:val="auto"/>
              </w:rPr>
            </w:pPr>
          </w:p>
        </w:tc>
        <w:tc>
          <w:tcPr>
            <w:tcW w:w="192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2024</w:t>
            </w:r>
          </w:p>
        </w:tc>
        <w:tc>
          <w:tcPr>
            <w:tcW w:w="1680" w:type="dxa"/>
            <w:vAlign w:val="bottom"/>
            <w:vMerge w:val="restart"/>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1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680" w:type="dxa"/>
            <w:vAlign w:val="bottom"/>
            <w:tcBorders>
              <w:left w:val="single" w:sz="8" w:color="auto"/>
              <w:bottom w:val="single" w:sz="8" w:color="auto"/>
              <w:right w:val="single" w:sz="8" w:color="auto"/>
            </w:tcBorders>
          </w:tcPr>
          <w:p>
            <w:pPr>
              <w:spacing w:after="0"/>
              <w:rPr>
                <w:sz w:val="9"/>
                <w:szCs w:val="9"/>
                <w:color w:val="auto"/>
              </w:rPr>
            </w:pPr>
          </w:p>
        </w:tc>
        <w:tc>
          <w:tcPr>
            <w:tcW w:w="1920" w:type="dxa"/>
            <w:vAlign w:val="bottom"/>
            <w:tcBorders>
              <w:bottom w:val="single" w:sz="8" w:color="auto"/>
            </w:tcBorders>
            <w:vMerge w:val="continue"/>
          </w:tcPr>
          <w:p>
            <w:pPr>
              <w:spacing w:after="0"/>
              <w:rPr>
                <w:sz w:val="9"/>
                <w:szCs w:val="9"/>
                <w:color w:val="auto"/>
              </w:rPr>
            </w:pPr>
          </w:p>
        </w:tc>
        <w:tc>
          <w:tcPr>
            <w:tcW w:w="1680" w:type="dxa"/>
            <w:vAlign w:val="bottom"/>
            <w:tcBorders>
              <w:bottom w:val="single" w:sz="8" w:color="auto"/>
            </w:tcBorders>
            <w:vMerge w:val="continue"/>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Copa Holdings (Consolidated)</w:t>
            </w:r>
          </w:p>
        </w:tc>
        <w:tc>
          <w:tcPr>
            <w:tcW w:w="19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3680" w:type="dxa"/>
            <w:vAlign w:val="bottom"/>
            <w:tcBorders>
              <w:left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 xml:space="preserve">ASM (mm) </w:t>
            </w:r>
            <w:r>
              <w:rPr>
                <w:rFonts w:ascii="Arial" w:cs="Arial" w:eastAsia="Arial" w:hAnsi="Arial"/>
                <w:sz w:val="23"/>
                <w:szCs w:val="23"/>
                <w:color w:val="auto"/>
                <w:vertAlign w:val="superscript"/>
              </w:rPr>
              <w:t>(1)</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2,521.9</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2,244.7</w:t>
            </w:r>
          </w:p>
        </w:tc>
        <w:tc>
          <w:tcPr>
            <w:tcW w:w="16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56"/>
        </w:trPr>
        <w:tc>
          <w:tcPr>
            <w:tcW w:w="3680" w:type="dxa"/>
            <w:vAlign w:val="bottom"/>
            <w:tcBorders>
              <w:left w:val="single" w:sz="8" w:color="auto"/>
              <w:right w:val="single" w:sz="8" w:color="auto"/>
            </w:tcBorders>
          </w:tcPr>
          <w:p>
            <w:pPr>
              <w:ind w:left="200"/>
              <w:spacing w:after="0" w:line="256" w:lineRule="exact"/>
              <w:rPr>
                <w:sz w:val="20"/>
                <w:szCs w:val="20"/>
                <w:color w:val="auto"/>
              </w:rPr>
            </w:pPr>
            <w:r>
              <w:rPr>
                <w:rFonts w:ascii="Arial" w:cs="Arial" w:eastAsia="Arial" w:hAnsi="Arial"/>
                <w:sz w:val="18"/>
                <w:szCs w:val="18"/>
                <w:color w:val="auto"/>
              </w:rPr>
              <w:t xml:space="preserve">RPM (mm) </w:t>
            </w:r>
            <w:r>
              <w:rPr>
                <w:rFonts w:ascii="Arial" w:cs="Arial" w:eastAsia="Arial" w:hAnsi="Arial"/>
                <w:sz w:val="23"/>
                <w:szCs w:val="23"/>
                <w:color w:val="auto"/>
                <w:vertAlign w:val="superscript"/>
              </w:rPr>
              <w:t>(2)</w:t>
            </w:r>
          </w:p>
        </w:tc>
        <w:tc>
          <w:tcPr>
            <w:tcW w:w="1920" w:type="dxa"/>
            <w:vAlign w:val="bottom"/>
          </w:tcPr>
          <w:p>
            <w:pPr>
              <w:jc w:val="right"/>
              <w:ind w:right="310"/>
              <w:spacing w:after="0"/>
              <w:rPr>
                <w:sz w:val="20"/>
                <w:szCs w:val="20"/>
                <w:color w:val="auto"/>
              </w:rPr>
            </w:pPr>
            <w:r>
              <w:rPr>
                <w:rFonts w:ascii="Arial" w:cs="Arial" w:eastAsia="Arial" w:hAnsi="Arial"/>
                <w:sz w:val="18"/>
                <w:szCs w:val="18"/>
                <w:color w:val="auto"/>
              </w:rPr>
              <w:t>2,185.1</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1,949.0</w:t>
            </w:r>
          </w:p>
        </w:tc>
        <w:tc>
          <w:tcPr>
            <w:tcW w:w="16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8"/>
        </w:trPr>
        <w:tc>
          <w:tcPr>
            <w:tcW w:w="3680" w:type="dxa"/>
            <w:vAlign w:val="bottom"/>
            <w:tcBorders>
              <w:left w:val="single" w:sz="8" w:color="auto"/>
              <w:bottom w:val="single" w:sz="8" w:color="auto"/>
              <w:right w:val="single" w:sz="8" w:color="auto"/>
            </w:tcBorders>
          </w:tcPr>
          <w:p>
            <w:pPr>
              <w:ind w:left="200"/>
              <w:spacing w:after="0" w:line="248" w:lineRule="exact"/>
              <w:rPr>
                <w:sz w:val="20"/>
                <w:szCs w:val="20"/>
                <w:color w:val="auto"/>
              </w:rPr>
            </w:pPr>
            <w:r>
              <w:rPr>
                <w:rFonts w:ascii="Arial" w:cs="Arial" w:eastAsia="Arial" w:hAnsi="Arial"/>
                <w:sz w:val="18"/>
                <w:szCs w:val="18"/>
                <w:b w:val="1"/>
                <w:bCs w:val="1"/>
                <w:color w:val="auto"/>
              </w:rPr>
              <w:t xml:space="preserve">Load Factor </w:t>
            </w:r>
            <w:r>
              <w:rPr>
                <w:rFonts w:ascii="Arial" w:cs="Arial" w:eastAsia="Arial" w:hAnsi="Arial"/>
                <w:sz w:val="23"/>
                <w:szCs w:val="23"/>
                <w:color w:val="auto"/>
                <w:vertAlign w:val="superscript"/>
              </w:rPr>
              <w:t>(3)</w:t>
            </w:r>
          </w:p>
        </w:tc>
        <w:tc>
          <w:tcPr>
            <w:tcW w:w="1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86.6 %</w:t>
            </w:r>
          </w:p>
        </w:tc>
        <w:tc>
          <w:tcPr>
            <w:tcW w:w="1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86.8 %</w:t>
            </w:r>
          </w:p>
        </w:tc>
        <w:tc>
          <w:tcPr>
            <w:tcW w:w="1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-0.2 p.p.</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Available seat miles - represents the aircraft seating capacity multiplied by the number of miles the seats are flown.</w:t>
      </w:r>
    </w:p>
    <w:p>
      <w:pPr>
        <w:spacing w:after="0" w:line="15" w:lineRule="exact"/>
        <w:rPr>
          <w:rFonts w:ascii="Arial" w:cs="Arial" w:eastAsia="Arial" w:hAnsi="Arial"/>
          <w:sz w:val="14"/>
          <w:szCs w:val="1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Revenue passenger miles - represents the number of miles flown by revenue passengers</w:t>
      </w:r>
    </w:p>
    <w:p>
      <w:pPr>
        <w:spacing w:after="0" w:line="14" w:lineRule="exact"/>
        <w:rPr>
          <w:rFonts w:ascii="Arial" w:cs="Arial" w:eastAsia="Arial" w:hAnsi="Arial"/>
          <w:sz w:val="14"/>
          <w:szCs w:val="14"/>
          <w:color w:val="auto"/>
        </w:rPr>
      </w:pPr>
    </w:p>
    <w:p>
      <w:pPr>
        <w:ind w:left="240" w:hanging="151"/>
        <w:spacing w:after="0"/>
        <w:tabs>
          <w:tab w:leader="none" w:pos="240" w:val="left"/>
        </w:tabs>
        <w:numPr>
          <w:ilvl w:val="0"/>
          <w:numId w:val="1"/>
        </w:numPr>
        <w:rPr>
          <w:rFonts w:ascii="Arial" w:cs="Arial" w:eastAsia="Arial" w:hAnsi="Arial"/>
          <w:sz w:val="14"/>
          <w:szCs w:val="14"/>
          <w:color w:val="auto"/>
        </w:rPr>
      </w:pPr>
      <w:r>
        <w:rPr>
          <w:rFonts w:ascii="Arial" w:cs="Arial" w:eastAsia="Arial" w:hAnsi="Arial"/>
          <w:sz w:val="14"/>
          <w:szCs w:val="14"/>
          <w:color w:val="auto"/>
        </w:rPr>
        <w:t>Load factor - represents the percentage of aircraft seating capacity that is actually utilized</w:t>
      </w:r>
    </w:p>
    <w:p>
      <w:pPr>
        <w:spacing w:after="0" w:line="20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For June 2024, Copa Holdings' capacity (ASMs) increased by 12.3 %, while system-wide passenger traffic (RPMs) increased by 12.1 %, compared to 2023. As a result, the system load factor for the month was 86.6 %, 0.2 percentage points lower than in June 2023.</w:t>
      </w:r>
    </w:p>
    <w:p>
      <w:pPr>
        <w:spacing w:after="0" w:line="15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i w:val="1"/>
          <w:iCs w:val="1"/>
          <w:color w:val="auto"/>
        </w:rPr>
        <w:t xml:space="preserve">Copa Holdings is a leading Latin American provider of passenger and cargo services. The Company, through its operating subsidiaries, provides service to countries in North, Central, and South America and the Caribbean. For more information visit </w:t>
      </w:r>
      <w:r>
        <w:rPr>
          <w:rFonts w:ascii="Arial" w:cs="Arial" w:eastAsia="Arial" w:hAnsi="Arial"/>
          <w:sz w:val="18"/>
          <w:szCs w:val="18"/>
          <w:color w:val="auto"/>
        </w:rPr>
        <w:t>www.copaair.com</w:t>
      </w:r>
      <w:r>
        <w:rPr>
          <w:rFonts w:ascii="Arial" w:cs="Arial" w:eastAsia="Arial" w:hAnsi="Arial"/>
          <w:sz w:val="18"/>
          <w:szCs w:val="18"/>
          <w:i w:val="1"/>
          <w:iCs w:val="1"/>
          <w:color w:val="auto"/>
        </w:rPr>
        <w: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CPA-G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CONTACT: </w:t>
      </w:r>
      <w:r>
        <w:rPr>
          <w:rFonts w:ascii="Arial" w:cs="Arial" w:eastAsia="Arial" w:hAnsi="Arial"/>
          <w:sz w:val="18"/>
          <w:szCs w:val="18"/>
          <w:color w:val="auto"/>
        </w:rPr>
        <w:t>Daniel Tapia – Panamá</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 Investor Relations</w:t>
      </w:r>
    </w:p>
    <w:p>
      <w:pPr>
        <w:spacing w:after="0"/>
        <w:rPr>
          <w:sz w:val="20"/>
          <w:szCs w:val="20"/>
          <w:color w:val="auto"/>
        </w:rPr>
      </w:pPr>
      <w:r>
        <w:rPr>
          <w:rFonts w:ascii="Arial" w:cs="Arial" w:eastAsia="Arial" w:hAnsi="Arial"/>
          <w:sz w:val="18"/>
          <w:szCs w:val="18"/>
          <w:color w:val="auto"/>
        </w:rPr>
        <w:t>011 (507) 304-2774</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2024-07-10T15:55:15Z</dcterms:created>
  <dcterms:modified xsi:type="dcterms:W3CDTF">2024-07-10T15:55:15Z</dcterms:modified>
</cp:coreProperties>
</file>